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7529" w14:textId="226976EE" w:rsidR="00C47B8A" w:rsidRPr="0089270D" w:rsidRDefault="00C47B8A" w:rsidP="00E33F62">
      <w:pPr>
        <w:rPr>
          <w:color w:val="A8222D"/>
        </w:rPr>
      </w:pP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Contexte</w:t>
            </w:r>
          </w:p>
        </w:tc>
      </w:tr>
    </w:tbl>
    <w:p>
      <w:pPr>
        <w:pStyle w:val="Normal"/>
      </w:pPr>
      <w:r>
        <w:t xml:space="preserve">La présence de multiples facteurs de risque chez un individu augmente considérablement la probabilité de développer des maladies non transmissibles (MNT) graves, telles que les maladies cardiovasculaires, le diabète et le cancer, qui représentent environ 87 % de tous les décès au Liban, les maladies cardiovasculaires étant la principale cause de décès à 43 %, suivie du cancer à 15 % et du diabète à 6 %. Comprendre comment ces facteurs de risque se regroupent dans la population, où 34 % de la population a de l'hypertension, 17 % a du diabète et 26 % sont des fumeurs, fournit des informations critiques pour une prévention ciblée, la promotion de la santé et la prestation de services intégrés, en particulier dans un pays comme le Liban où 75 % des dépenses de santé sont à la charge des individus, et la charge des MNT est estimée à environ 6 % du PIB du pays chaque année.</w:t>
      </w:r>
    </w:p>
    <w:p>
      <w:pPr>
        <w:pStyle w:val="Normal"/>
      </w:pPr>
      <w:r>
        <w:t xml:space="preserve">
</w:t>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Résultats</w:t>
            </w:r>
          </w:p>
        </w:tc>
      </w:tr>
    </w:tbl>
    <w:p>
      <w:pPr>
        <w:pStyle w:val="bullet"/>
      </w:pPr>
      <w:r>
        <w:rPr>
          <w:rFonts w:ascii="Arial" w:hAnsi="Arial" w:eastAsia="Arial" w:cs="Arial"/>
          <w:i w:val="false"/>
          <w:b w:val="true"/>
          <w:u w:val="none"/>
          <w:sz w:val="20"/>
          <w:szCs w:val="20"/>
          <w:color w:val="000000"/>
        </w:rPr>
        <w:t xml:space="preserve">Facteurs de risque multiples</w:t>
      </w:r>
      <w:r>
        <w:rPr>
          <w:rFonts w:ascii="Arial" w:hAnsi="Arial" w:eastAsia="Arial" w:cs="Arial"/>
          <w:i w:val="false"/>
          <w:b w:val="true"/>
          <w:u w:val="none"/>
          <w:sz w:val="20"/>
          <w:szCs w:val="20"/>
          <w:color w:val="000000"/>
        </w:rPr>
        <w:t xml:space="preserve">: </w:t>
      </w:r>
      <w:r>
        <w:t xml:space="preserve">Au Liban, les facteurs de risque combinés n'ont pas connu de changements significatifs entre 2024 et 2025, avec une stabilité générale observée dans la plupart des catégories. Cependant, une augmentation significative a été enregistrée chez les personnes âgées de 45 à 69 ans avec zéro facteur de risque, passant de 1 à 2, avec un p = 0,0364. De même, les hommes de la même tranche d'âge ont connu une augmentation de 2 à 4, avec un p = 0,022. En revanche, les autres catégories n'ont pas présenté de changements significatifs, avec des p &gt; 0,05.</w:t>
      </w:r>
    </w:p>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0512"/>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Helvetica" w:hAnsi="Helvetica" w:eastAsia="Helvetica" w:cs="Helvetica"/>
                <w:i w:val="false"/>
                <w:b w:val="true"/>
                <w:u w:val="none"/>
                <w:sz w:val="24"/>
                <w:szCs w:val="24"/>
                <w:color w:val="000000"/>
              </w:rPr>
            </w:pPr>
            <w:r>
              <w:rPr>
                <w:rFonts w:ascii="Helvetica" w:hAnsi="Helvetica" w:eastAsia="Helvetica" w:cs="Helvetica"/>
                <w:i w:val="false"/>
                <w:b w:val="true"/>
                <w:u w:val="none"/>
                <w:sz w:val="24"/>
                <w:szCs w:val="24"/>
                <w:color w:val="000000"/>
              </w:rPr>
              <w:t xml:space="preserve">Graphiques</w:t>
            </w:r>
          </w:p>
        </w:tc>
      </w:tr>
    </w:tbl>
    <w:p>
      <w:pPr>
        <w:pStyle w:val="Normal"/>
      </w:pPr>
      <w:r>
        <w:rPr/>
        <w:drawing>
          <wp:inline distT="0" distB="0" distL="0" distR="0">
            <wp:extent cx="66294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tretch>
                      <a:fillRect/>
                    </a:stretch>
                  </pic:blipFill>
                  <pic:spPr bwMode="auto">
                    <a:xfrm>
                      <a:off x="0" y="0"/>
                      <a:ext cx="92075" cy="57150"/>
                    </a:xfrm>
                    <a:prstGeom prst="rect">
                      <a:avLst/>
                    </a:prstGeom>
                    <a:noFill/>
                  </pic:spPr>
                </pic:pic>
              </a:graphicData>
            </a:graphic>
          </wp:inline>
        </w:drawing>
      </w:r>
    </w:p>
    <w:p>
      <w:pPr>
        <w:pStyle w:val="Normal"/>
      </w:pPr>
      <w:r>
        <w:rPr/>
        <w:drawing>
          <wp:inline distT="0" distB="0" distL="0" distR="0">
            <wp:extent cx="662940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tretch>
                      <a:fillRect/>
                    </a:stretch>
                  </pic:blipFill>
                  <pic:spPr bwMode="auto">
                    <a:xfrm>
                      <a:off x="0" y="0"/>
                      <a:ext cx="92075" cy="57150"/>
                    </a:xfrm>
                    <a:prstGeom prst="rect">
                      <a:avLst/>
                    </a:prstGeom>
                    <a:noFill/>
                  </pic:spPr>
                </pic:pic>
              </a:graphicData>
            </a:graphic>
          </wp:inline>
        </w:drawing>
      </w:r>
    </w:p>
    <w:sectPr w:rsidR="00C47B8A" w:rsidRPr="0089270D" w:rsidSect="00680F46">
      <w:headerReference w:type="even" r:id="rId7"/>
      <w:headerReference w:type="default" r:id="rId8"/>
      <w:footerReference w:type="even" r:id="rId9"/>
      <w:footerReference w:type="default" r:id="rId10"/>
      <w:headerReference w:type="first" r:id="rId11"/>
      <w:footerReference w:type="first" r:id="rId12"/>
      <w:pgSz w:w="11906" w:h="16838"/>
      <w:pgMar w:top="1440" w:right="737" w:bottom="1440" w:left="737" w:header="680"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EAE9" w14:textId="77777777" w:rsidR="00D5084D" w:rsidRDefault="00D5084D" w:rsidP="00D427AF">
      <w:r>
        <w:separator/>
      </w:r>
    </w:p>
  </w:endnote>
  <w:endnote w:type="continuationSeparator" w:id="0">
    <w:p w14:paraId="44B678EE" w14:textId="77777777" w:rsidR="00D5084D" w:rsidRDefault="00D5084D" w:rsidP="00D4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0982265"/>
      <w:docPartObj>
        <w:docPartGallery w:val="Page Numbers (Bottom of Page)"/>
        <w:docPartUnique/>
      </w:docPartObj>
    </w:sdtPr>
    <w:sdtContent>
      <w:p w14:paraId="7ACB4BD3" w14:textId="0CD44354"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F2093" w14:textId="77777777" w:rsidR="00946C5B" w:rsidRDefault="00946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989871"/>
      <w:docPartObj>
        <w:docPartGallery w:val="Page Numbers (Bottom of Page)"/>
        <w:docPartUnique/>
      </w:docPartObj>
    </w:sdtPr>
    <w:sdtContent>
      <w:p w14:paraId="6F4B1C03" w14:textId="7C9A7139" w:rsidR="00966848" w:rsidRDefault="00966848" w:rsidP="00E81E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FE05E" w14:textId="77777777" w:rsidR="00946C5B" w:rsidRDefault="00946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5171" w14:textId="77777777" w:rsidR="00946C5B" w:rsidRDefault="0094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DEC6" w14:textId="77777777" w:rsidR="00D5084D" w:rsidRDefault="00D5084D" w:rsidP="00D427AF">
      <w:r>
        <w:separator/>
      </w:r>
    </w:p>
  </w:footnote>
  <w:footnote w:type="continuationSeparator" w:id="0">
    <w:p w14:paraId="11C6AB86" w14:textId="77777777" w:rsidR="00D5084D" w:rsidRDefault="00D5084D" w:rsidP="00D4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92DF" w14:textId="77777777" w:rsidR="00946C5B" w:rsidRDefault="00946C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62F1" w14:textId="55214F40" w:rsidR="00D427AF" w:rsidRDefault="004C56AA" w:rsidP="00AD077D">
    <w:pPr>
      <w:pStyle w:val="Header"/>
      <w:jc w:val="center"/>
    </w:pPr>
    <w:r>
      <w:rPr>
        <w:noProof/>
      </w:rPr>
      <mc:AlternateContent>
        <mc:Choice Requires="wps">
          <w:drawing>
            <wp:anchor distT="0" distB="0" distL="114300" distR="114300" simplePos="0" relativeHeight="251659264" behindDoc="0" locked="0" layoutInCell="1" allowOverlap="1" wp14:anchorId="79EA2CC7" wp14:editId="6F4758ED">
              <wp:simplePos x="0" y="0"/>
              <wp:positionH relativeFrom="column">
                <wp:posOffset>-467995</wp:posOffset>
              </wp:positionH>
              <wp:positionV relativeFrom="paragraph">
                <wp:posOffset>-417195</wp:posOffset>
              </wp:positionV>
              <wp:extent cx="7550590" cy="860080"/>
              <wp:effectExtent l="0" t="0" r="6350" b="3810"/>
              <wp:wrapNone/>
              <wp:docPr id="2140200295" name="Rectangle 1"/>
              <wp:cNvGraphicFramePr/>
              <a:graphic xmlns:a="http://schemas.openxmlformats.org/drawingml/2006/main">
                <a:graphicData uri="http://schemas.microsoft.com/office/word/2010/wordprocessingShape">
                  <wps:wsp>
                    <wps:cNvSpPr/>
                    <wps:spPr>
                      <a:xfrm>
                        <a:off x="0" y="0"/>
                        <a:ext cx="7550590" cy="86008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1F2C1" w14:textId="2246D095" w:rsidR="00056202" w:rsidRDefault="00056202" w:rsidP="00056202">
                          <w:pPr>
                            <w:jc w:val="center"/>
                            <w:rPr>
                              <w:sz w:val="36"/>
                              <w:szCs w:val="36"/>
                            </w:rPr>
                          </w:pPr>
                          <w:bookmarkStart w:id="0" w:name="header"/>
                          <w:r w:rsidRPr="00E04BC0">
                            <w:rPr>
                              <w:sz w:val="36"/>
                              <w:szCs w:val="36"/>
                            </w:rPr>
                            <w:t>Fiche de comparaison : Liban 2024 &amp; 2025</w:t>
                          </w:r>
                          <w:bookmarkEnd w:id="0"/>
                        </w:p>
                        <w:p w14:paraId="6397170D" w14:textId="1E8072A6" w:rsidR="00902713" w:rsidRPr="00E04BC0" w:rsidRDefault="00902713" w:rsidP="00056202">
                          <w:pPr>
                            <w:jc w:val="center"/>
                            <w:rPr>
                              <w:sz w:val="36"/>
                              <w:szCs w:val="36"/>
                            </w:rPr>
                          </w:pPr>
                          <w:bookmarkStart w:id="1" w:name="header2"/>
                          <w:r>
                            <w:rPr>
                              <w:sz w:val="36"/>
                              <w:szCs w:val="36"/>
                            </w:rPr>
                            <w:t>Résumé des facteurs de risque combinés</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EA2CC7" id="Rectangle 1" o:spid="_x0000_s1026" style="position:absolute;left:0;text-align:left;margin-left:-36.85pt;margin-top:-32.85pt;width:594.55pt;height:6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" fillcolor="#2f5496 [2404]" stroked="f" strokeweight="1pt">
              <v:textbox>
                <w:txbxContent>
                  <w:p w14:paraId="4C41F2C1" w14:textId="2246D095" w:rsidR="00056202" w:rsidRDefault="00056202" w:rsidP="00056202">
                    <w:pPr>
                      <w:jc w:val="center"/>
                      <w:rPr>
                        <w:sz w:val="36"/>
                        <w:szCs w:val="36"/>
                      </w:rPr>
                    </w:pPr>
                    <w:bookmarkStart w:id="2" w:name="header"/>
                    <w:r w:rsidRPr="00E04BC0">
                      <w:rPr>
                        <w:sz w:val="36"/>
                        <w:szCs w:val="36"/>
                      </w:rPr>
                      <w:t>header</w:t>
                    </w:r>
                    <w:bookmarkEnd w:id="2"/>
                  </w:p>
                  <w:p w14:paraId="6397170D" w14:textId="1E8072A6" w:rsidR="00902713" w:rsidRPr="00E04BC0" w:rsidRDefault="00902713" w:rsidP="00056202">
                    <w:pPr>
                      <w:jc w:val="center"/>
                      <w:rPr>
                        <w:sz w:val="36"/>
                        <w:szCs w:val="36"/>
                      </w:rPr>
                    </w:pPr>
                    <w:bookmarkStart w:id="3" w:name="header2"/>
                    <w:r>
                      <w:rPr>
                        <w:sz w:val="36"/>
                        <w:szCs w:val="36"/>
                      </w:rPr>
                      <w:t>header2</w:t>
                    </w:r>
                    <w:bookmarkEnd w:id="3"/>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58BE" w14:textId="77777777" w:rsidR="00946C5B" w:rsidRDefault="0094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7A63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02AE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13503B"/>
    <w:multiLevelType w:val="hybridMultilevel"/>
    <w:tmpl w:val="C0389990"/>
    <w:lvl w:ilvl="0" w:tplc="71E4AF42">
      <w:start w:val="1"/>
      <w:numFmt w:val="bullet"/>
      <w:pStyle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D3810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4354197">
    <w:abstractNumId w:val="2"/>
  </w:num>
  <w:num w:numId="2" w16cid:durableId="385421868">
    <w:abstractNumId w:val="0"/>
  </w:num>
  <w:num w:numId="3" w16cid:durableId="382798034">
    <w:abstractNumId w:val="1"/>
  </w:num>
  <w:num w:numId="4" w16cid:durableId="1191411409">
    <w:abstractNumId w:val="3"/>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66"/>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ListParagraph">
    <w:name w:val="List Paragraph"/>
    <w:basedOn w:val="Normal"/>
    <w:uiPriority w:val="34"/>
    <w:qFormat/>
    <w:rsid w:val="00C47B8A"/>
    <w:pPr>
      <w:ind w:left="720"/>
      <w:contextualSpacing/>
    </w:pPr>
  </w:style>
  <w:style w:type="paragraph" w:customStyle="1" w:styleId="bullet">
    <w:name w:val="bullet"/>
    <w:basedOn w:val="ListParagraph"/>
    <w:autoRedefine/>
    <w:qFormat/>
    <w:rsid w:val="002A555B"/>
    <w:pPr>
      <w:numPr>
        <w:numId w:val="1"/>
      </w:numPr>
      <w:ind w:left="357" w:hanging="357"/>
    </w:pPr>
  </w:style>
  <w:style w:type="numbering" w:customStyle="1" w:styleId="CurrentList1">
    <w:name w:val="Current List1"/>
    <w:uiPriority w:val="99"/>
    <w:rsid w:val="009F33A2"/>
    <w:pPr>
      <w:numPr>
        <w:numId w:val="3"/>
      </w:numPr>
    </w:pPr>
  </w:style>
  <w:style w:type="paragraph" w:styleId="Header">
    <w:name w:val="header"/>
    <w:basedOn w:val="Normal"/>
    <w:link w:val="HeaderChar"/>
    <w:uiPriority w:val="99"/>
    <w:unhideWhenUsed/>
    <w:rsid w:val="00D427AF"/>
    <w:pPr>
      <w:tabs>
        <w:tab w:val="center" w:pos="4513"/>
        <w:tab w:val="right" w:pos="9026"/>
      </w:tabs>
    </w:pPr>
  </w:style>
  <w:style w:type="character" w:customStyle="1" w:styleId="HeaderChar">
    <w:name w:val="Header Char"/>
    <w:basedOn w:val="DefaultParagraphFont"/>
    <w:link w:val="Header"/>
    <w:uiPriority w:val="99"/>
    <w:rsid w:val="00D427AF"/>
  </w:style>
  <w:style w:type="paragraph" w:styleId="Footer">
    <w:name w:val="footer"/>
    <w:basedOn w:val="Normal"/>
    <w:link w:val="FooterChar"/>
    <w:uiPriority w:val="99"/>
    <w:unhideWhenUsed/>
    <w:rsid w:val="00D427AF"/>
    <w:pPr>
      <w:tabs>
        <w:tab w:val="center" w:pos="4513"/>
        <w:tab w:val="right" w:pos="9026"/>
      </w:tabs>
    </w:pPr>
  </w:style>
  <w:style w:type="character" w:customStyle="1" w:styleId="FooterChar">
    <w:name w:val="Footer Char"/>
    <w:basedOn w:val="DefaultParagraphFont"/>
    <w:link w:val="Footer"/>
    <w:uiPriority w:val="99"/>
    <w:rsid w:val="00D427AF"/>
  </w:style>
  <w:style w:type="table" w:styleId="TableGrid">
    <w:name w:val="Table Grid"/>
    <w:basedOn w:val="TableNormal"/>
    <w:uiPriority w:val="39"/>
    <w:rsid w:val="004A2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image" Target="media/dacee8421a8f4a69001af2c249e90988f6a2c0d4.png"/>
<Relationship Id="rId16" Type="http://schemas.openxmlformats.org/officeDocument/2006/relationships/image" Target="media/5ce33bac8c8ef9039b95f44cade2be571d1c88e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29</cp:revision>
  <dcterms:created xsi:type="dcterms:W3CDTF">2025-10-01T16:57:00Z</dcterms:created>
  <dcterms:modified xsi:type="dcterms:W3CDTF">2025-10-31T13:24:53Z</dcterms:modified>
</cp:coreProperties>
</file>