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97529" w14:textId="226976EE" w:rsidR="00C47B8A" w:rsidRPr="0089270D" w:rsidRDefault="00C47B8A" w:rsidP="00E33F62">
      <w:pPr>
        <w:rPr>
          <w:color w:val="A8222D"/>
        </w:rPr>
      </w:pPr>
    </w:p>
    <w:tbl xmlns:a="http://schemas.openxmlformats.org/drawingml/2006/main" xmlns:pic="http://schemas.openxmlformats.org/drawingml/2006/picture">
      <w:tblPr>
        <w:tblLayout w:type="fixed"/>
        <w:jc w:val="center"/>
        <w:tblLook w:firstRow="1" w:lastRow="0" w:firstColumn="0" w:lastColumn="0" w:noHBand="0" w:noVBand="1"/>
      </w:tblPr>
      <w:tblGrid>
        <w:gridCol w:w="10512"/>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D9D9D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true"/>
                <w:u w:val="none"/>
                <w:sz w:val="24"/>
                <w:szCs w:val="24"/>
                <w:color w:val="000000"/>
              </w:rPr>
            </w:pPr>
            <w:r>
              <w:rPr>
                <w:rFonts w:ascii="Helvetica" w:hAnsi="Helvetica" w:eastAsia="Helvetica" w:cs="Helvetica"/>
                <w:i w:val="false"/>
                <w:b w:val="true"/>
                <w:u w:val="none"/>
                <w:sz w:val="24"/>
                <w:szCs w:val="24"/>
                <w:color w:val="000000"/>
              </w:rPr>
              <w:t xml:space="preserve">Contexte</w:t>
            </w:r>
          </w:p>
        </w:tc>
      </w:tr>
    </w:tbl>
    <w:p>
      <w:pPr>
        <w:pStyle w:val="Normal"/>
      </w:pPr>
      <w:r>
        <w:t xml:space="preserve">L'utilisation du tabac est un facteur de risque modifiable majeur pour les maladies non transmissibles (MNT), notamment les maladies cardiovasculaires, les cancers, les maladies respiratoires chroniques et le diabète. Au Liban, environ 3 500 personnes meurent chaque année en raison de maladies liées au tabac, ce qui représente environ 12 % de tous les décès dans le pays, avec 38,5 % d'hommes et 26,4 % de femmes âgées de 15 ans et plus utilisant des produits du tabac. La prévention de l'initiation au tabac et la promotion de la cessation sont essentielles pour réduire le fardeau des MNT à l'échelle mondiale et nationale.</w:t>
      </w:r>
    </w:p>
    <w:p>
      <w:pPr>
        <w:pStyle w:val="Normal"/>
      </w:pPr>
      <w:r>
        <w:t xml:space="preserve">
</w:t>
      </w:r>
    </w:p>
    <w:tbl xmlns:a="http://schemas.openxmlformats.org/drawingml/2006/main" xmlns:pic="http://schemas.openxmlformats.org/drawingml/2006/picture">
      <w:tblPr>
        <w:tblLayout w:type="fixed"/>
        <w:jc w:val="center"/>
        <w:tblLook w:firstRow="1" w:lastRow="0" w:firstColumn="0" w:lastColumn="0" w:noHBand="0" w:noVBand="1"/>
      </w:tblPr>
      <w:tblGrid>
        <w:gridCol w:w="10512"/>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D9D9D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true"/>
                <w:u w:val="none"/>
                <w:sz w:val="24"/>
                <w:szCs w:val="24"/>
                <w:color w:val="000000"/>
              </w:rPr>
            </w:pPr>
            <w:r>
              <w:rPr>
                <w:rFonts w:ascii="Helvetica" w:hAnsi="Helvetica" w:eastAsia="Helvetica" w:cs="Helvetica"/>
                <w:i w:val="false"/>
                <w:b w:val="true"/>
                <w:u w:val="none"/>
                <w:sz w:val="24"/>
                <w:szCs w:val="24"/>
                <w:color w:val="000000"/>
              </w:rPr>
              <w:t xml:space="preserve">Résultats</w:t>
            </w:r>
          </w:p>
        </w:tc>
      </w:tr>
    </w:tbl>
    <w:p>
      <w:pPr>
        <w:pStyle w:val="bullet"/>
      </w:pPr>
      <w:r>
        <w:rPr>
          <w:rFonts w:ascii="Arial" w:hAnsi="Arial" w:eastAsia="Arial" w:cs="Arial"/>
          <w:i w:val="false"/>
          <w:b w:val="true"/>
          <w:u w:val="none"/>
          <w:sz w:val="20"/>
          <w:szCs w:val="20"/>
          <w:color w:val="000000"/>
        </w:rPr>
        <w:t xml:space="preserve">Utilisation actuelle du tabac</w:t>
      </w:r>
      <w:r>
        <w:rPr>
          <w:rFonts w:ascii="Arial" w:hAnsi="Arial" w:eastAsia="Arial" w:cs="Arial"/>
          <w:i w:val="false"/>
          <w:b w:val="true"/>
          <w:u w:val="none"/>
          <w:sz w:val="20"/>
          <w:szCs w:val="20"/>
          <w:color w:val="000000"/>
        </w:rPr>
        <w:t xml:space="preserve">: </w:t>
      </w:r>
      <w:r>
        <w:t xml:space="preserve">Les données sur l'utilisation du tabac au Liban montrent une stabilité dans le pourcentage de fumeurs actuels, avec 11% en 2024 et 2025. Les différences entre les sexes et les tranches d'âge sont peu significatives, à l'exception d'une augmentation de 18% du pourcentage de femmes fumeuses quotidiennes parmi les fumeuses, passant de 35% à 53% (p = 0,0046). Une autre augmentation significative est observée chez les femmes âgées de 45 à 69 ans, avec un pourcentage de fumeuses quotidiennes passant de 17% à 41% (p = 6e-04). Ces résultats suggèrent une tendance à la hausse de la consommation de tabac chez les femmes libanaises, en particulier dans les tranches d'âge plus élevées.</w:t>
      </w:r>
    </w:p>
    <w:p>
      <w:pPr>
        <w:pStyle w:val="bullet"/>
      </w:pPr>
      <w:r>
        <w:rPr>
          <w:rFonts w:ascii="Arial" w:hAnsi="Arial" w:eastAsia="Arial" w:cs="Arial"/>
          <w:i w:val="false"/>
          <w:b w:val="true"/>
          <w:u w:val="none"/>
          <w:sz w:val="20"/>
          <w:szCs w:val="20"/>
          <w:color w:val="000000"/>
        </w:rPr>
        <w:t xml:space="preserve">Modèles d'utilisation de produits du tabac</w:t>
      </w:r>
      <w:r>
        <w:rPr>
          <w:rFonts w:ascii="Arial" w:hAnsi="Arial" w:eastAsia="Arial" w:cs="Arial"/>
          <w:i w:val="false"/>
          <w:b w:val="true"/>
          <w:u w:val="none"/>
          <w:sz w:val="20"/>
          <w:szCs w:val="20"/>
          <w:color w:val="000000"/>
        </w:rPr>
        <w:t xml:space="preserve">: </w:t>
      </w:r>
      <w:r>
        <w:t xml:space="preserve">Les données sur l'utilisation du tabac au Liban montrent que la proportion de fumeurs actuels ayant fumé des cigarettes manufacturées a diminué de 1% entre 2024 et 2025, mais cette baisse n'est pas significative (p = 0,7097). Cependant, les femmes ayant fumé des cigarettes roulées main ont connu une augmentation significative de 10% (p = 0,0354) et celles âgées de 45 à 69 ans ayant fumé des cigarettes roulées main ont connu une augmentation significative de 12% (p = 0,0042). La proportion d'utilisateurs actuels de tabac sans fumée ayant utilisé du tabac à chiquer a diminué de 5% entre 2024 et 2025, avec une diminution significative chez les hommes de 45 à 69 ans (p = 0,0493) et les femmes de 18 à 44 ans (p = 0,0486). Les autres tendances n'ont pas montré de changements significatifs.</w:t>
      </w:r>
    </w:p>
    <w:p>
      <w:pPr>
        <w:pStyle w:val="bullet"/>
      </w:pPr>
      <w:r>
        <w:rPr>
          <w:rFonts w:ascii="Arial" w:hAnsi="Arial" w:eastAsia="Arial" w:cs="Arial"/>
          <w:i w:val="false"/>
          <w:b w:val="true"/>
          <w:u w:val="none"/>
          <w:sz w:val="20"/>
          <w:szCs w:val="20"/>
          <w:color w:val="000000"/>
        </w:rPr>
        <w:t xml:space="preserve">Comportement d'abandon</w:t>
      </w:r>
      <w:r>
        <w:rPr>
          <w:rFonts w:ascii="Arial" w:hAnsi="Arial" w:eastAsia="Arial" w:cs="Arial"/>
          <w:i w:val="false"/>
          <w:b w:val="true"/>
          <w:u w:val="none"/>
          <w:sz w:val="20"/>
          <w:szCs w:val="20"/>
          <w:color w:val="000000"/>
        </w:rPr>
        <w:t xml:space="preserve">: </w:t>
      </w:r>
      <w:r>
        <w:t xml:space="preserve">Au Liban, les données sur l'usage du tabac révèlent des tendances intéressantes. Parmi les fumeurs actuels qui ont tenté d'arrêter, la proportion de femmes âgées de 45 à 69 ans ayant essayé d'arrêter est passée de 59 % à 76 % entre 2024 et 2025, avec un p = 0,017. Une augmentation significative a également été observée chez les femmes de la même tranche d'âge qui ont été conseillées par leur médecin d'arrêter de fumer, avec une proportion passant de 5 % à 27 % (p = 0,0018). Ces changements mettent en évidence la nécessité de stratégies ciblées pour soutenir les femmes dans leur tentative d'arrêter de fumer.</w:t>
      </w:r>
    </w:p>
    <w:p>
      <w:pPr>
        <w:pStyle w:val="bullet"/>
      </w:pPr>
      <w:r>
        <w:rPr>
          <w:rFonts w:ascii="Arial" w:hAnsi="Arial" w:eastAsia="Arial" w:cs="Arial"/>
          <w:i w:val="false"/>
          <w:b w:val="true"/>
          <w:u w:val="none"/>
          <w:sz w:val="20"/>
          <w:szCs w:val="20"/>
          <w:color w:val="000000"/>
        </w:rPr>
        <w:t xml:space="preserve">Exposition à la fumée secondaire</w:t>
      </w:r>
      <w:r>
        <w:rPr>
          <w:rFonts w:ascii="Arial" w:hAnsi="Arial" w:eastAsia="Arial" w:cs="Arial"/>
          <w:i w:val="false"/>
          <w:b w:val="true"/>
          <w:u w:val="none"/>
          <w:sz w:val="20"/>
          <w:szCs w:val="20"/>
          <w:color w:val="000000"/>
        </w:rPr>
        <w:t xml:space="preserve">: </w:t>
      </w:r>
      <w:r>
        <w:t xml:space="preserve">L'exposition à la fumée secondaire au domicile et sur le lieu de travail a été examinée au Liban. Les résultats montrent une stabilité dans l'exposition à la fumée secondaire à domicile, avec 21% des personnes exposées en 2024 et 2025. En revanche, l'exposition à la fumée secondaire sur le lieu de travail a augmenté de 1 point de pourcentage, passant de 15% en 2024 à 16% en 2025, mais cette augmentation n'est pas significative (p = 0,1326). Cependant, les femmes ont enregistré une augmentation significative de l'exposition à la fumée secondaire sur le lieu de travail, avec une augmentation de 1 point de pourcentage (p = 0,0157) et de 2 points de pourcentage (p = 0,0224) respectivement pour les femmes au total et pour les femmes âgées de 18 à 44 ans.</w:t>
      </w:r>
    </w:p>
    <w:p>
      <w:pPr/>
      <w:r>
        <w:br w:type="page"/>
      </w:r>
    </w:p>
    <w:tbl xmlns:a="http://schemas.openxmlformats.org/drawingml/2006/main" xmlns:pic="http://schemas.openxmlformats.org/drawingml/2006/picture">
      <w:tblPr>
        <w:tblLayout w:type="fixed"/>
        <w:jc w:val="center"/>
        <w:tblLook w:firstRow="1" w:lastRow="0" w:firstColumn="0" w:lastColumn="0" w:noHBand="0" w:noVBand="1"/>
      </w:tblPr>
      <w:tblGrid>
        <w:gridCol w:w="10512"/>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D9D9D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true"/>
                <w:u w:val="none"/>
                <w:sz w:val="24"/>
                <w:szCs w:val="24"/>
                <w:color w:val="000000"/>
              </w:rPr>
            </w:pPr>
            <w:r>
              <w:rPr>
                <w:rFonts w:ascii="Helvetica" w:hAnsi="Helvetica" w:eastAsia="Helvetica" w:cs="Helvetica"/>
                <w:i w:val="false"/>
                <w:b w:val="true"/>
                <w:u w:val="none"/>
                <w:sz w:val="24"/>
                <w:szCs w:val="24"/>
                <w:color w:val="000000"/>
              </w:rPr>
              <w:t xml:space="preserve">Graphiques</w:t>
            </w:r>
          </w:p>
        </w:tc>
      </w:tr>
    </w:tbl>
    <w:p>
      <w:pPr>
        <w:pStyle w:val="Normal"/>
      </w:pPr>
      <w:r>
        <w:rPr/>
        <w:drawing>
          <wp:inline distT="0" distB="0" distL="0" distR="0">
            <wp:extent cx="6629400" cy="41148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5"/>
                    <a:stretch>
                      <a:fillRect/>
                    </a:stretch>
                  </pic:blipFill>
                  <pic:spPr bwMode="auto">
                    <a:xfrm>
                      <a:off x="0" y="0"/>
                      <a:ext cx="92075" cy="57150"/>
                    </a:xfrm>
                    <a:prstGeom prst="rect">
                      <a:avLst/>
                    </a:prstGeom>
                    <a:noFill/>
                  </pic:spPr>
                </pic:pic>
              </a:graphicData>
            </a:graphic>
          </wp:inline>
        </w:drawing>
      </w:r>
    </w:p>
    <w:p>
      <w:pPr>
        <w:pStyle w:val="Normal"/>
      </w:pPr>
      <w:r>
        <w:rPr/>
        <w:drawing>
          <wp:inline distT="0" distB="0" distL="0" distR="0">
            <wp:extent cx="6629400" cy="4114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6"/>
                    <a:stretch>
                      <a:fillRect/>
                    </a:stretch>
                  </pic:blipFill>
                  <pic:spPr bwMode="auto">
                    <a:xfrm>
                      <a:off x="0" y="0"/>
                      <a:ext cx="92075" cy="57150"/>
                    </a:xfrm>
                    <a:prstGeom prst="rect">
                      <a:avLst/>
                    </a:prstGeom>
                    <a:noFill/>
                  </pic:spPr>
                </pic:pic>
              </a:graphicData>
            </a:graphic>
          </wp:inline>
        </w:drawing>
      </w:r>
    </w:p>
    <w:p>
      <w:pPr>
        <w:pStyle w:val="Normal"/>
      </w:pPr>
      <w:r>
        <w:rPr/>
        <w:drawing>
          <wp:inline distT="0" distB="0" distL="0" distR="0">
            <wp:extent cx="66294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7"/>
                    <a:stretch>
                      <a:fillRect/>
                    </a:stretch>
                  </pic:blipFill>
                  <pic:spPr bwMode="auto">
                    <a:xfrm>
                      <a:off x="0" y="0"/>
                      <a:ext cx="92075" cy="57150"/>
                    </a:xfrm>
                    <a:prstGeom prst="rect">
                      <a:avLst/>
                    </a:prstGeom>
                    <a:noFill/>
                  </pic:spPr>
                </pic:pic>
              </a:graphicData>
            </a:graphic>
          </wp:inline>
        </w:drawing>
      </w:r>
    </w:p>
    <w:p>
      <w:pPr>
        <w:pStyle w:val="Normal"/>
      </w:pPr>
      <w:r>
        <w:rPr/>
        <w:drawing>
          <wp:inline distT="0" distB="0" distL="0" distR="0">
            <wp:extent cx="66294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8"/>
                    <a:stretch>
                      <a:fillRect/>
                    </a:stretch>
                  </pic:blipFill>
                  <pic:spPr bwMode="auto">
                    <a:xfrm>
                      <a:off x="0" y="0"/>
                      <a:ext cx="92075" cy="57150"/>
                    </a:xfrm>
                    <a:prstGeom prst="rect">
                      <a:avLst/>
                    </a:prstGeom>
                    <a:noFill/>
                  </pic:spPr>
                </pic:pic>
              </a:graphicData>
            </a:graphic>
          </wp:inline>
        </w:drawing>
      </w:r>
    </w:p>
    <w:p>
      <w:pPr>
        <w:pStyle w:val="Normal"/>
      </w:pPr>
      <w:r>
        <w:rPr/>
        <w:drawing>
          <wp:inline distT="0" distB="0" distL="0" distR="0">
            <wp:extent cx="66294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9"/>
                    <a:stretch>
                      <a:fillRect/>
                    </a:stretch>
                  </pic:blipFill>
                  <pic:spPr bwMode="auto">
                    <a:xfrm>
                      <a:off x="0" y="0"/>
                      <a:ext cx="92075" cy="57150"/>
                    </a:xfrm>
                    <a:prstGeom prst="rect">
                      <a:avLst/>
                    </a:prstGeom>
                    <a:noFill/>
                  </pic:spPr>
                </pic:pic>
              </a:graphicData>
            </a:graphic>
          </wp:inline>
        </w:drawing>
      </w:r>
    </w:p>
    <w:sectPr w:rsidR="00C47B8A" w:rsidRPr="0089270D" w:rsidSect="00680F46">
      <w:headerReference w:type="even" r:id="rId7"/>
      <w:headerReference w:type="default" r:id="rId8"/>
      <w:footerReference w:type="even" r:id="rId9"/>
      <w:footerReference w:type="default" r:id="rId10"/>
      <w:headerReference w:type="first" r:id="rId11"/>
      <w:footerReference w:type="first" r:id="rId12"/>
      <w:pgSz w:w="11906" w:h="16838"/>
      <w:pgMar w:top="1440" w:right="737" w:bottom="1440" w:left="737" w:header="680"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0EAE9" w14:textId="77777777" w:rsidR="00D5084D" w:rsidRDefault="00D5084D" w:rsidP="00D427AF">
      <w:r>
        <w:separator/>
      </w:r>
    </w:p>
  </w:endnote>
  <w:endnote w:type="continuationSeparator" w:id="0">
    <w:p w14:paraId="44B678EE" w14:textId="77777777" w:rsidR="00D5084D" w:rsidRDefault="00D5084D" w:rsidP="00D42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0982265"/>
      <w:docPartObj>
        <w:docPartGallery w:val="Page Numbers (Bottom of Page)"/>
        <w:docPartUnique/>
      </w:docPartObj>
    </w:sdtPr>
    <w:sdtContent>
      <w:p w14:paraId="7ACB4BD3" w14:textId="0CD44354" w:rsidR="00966848" w:rsidRDefault="00966848" w:rsidP="00E81E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F2093" w14:textId="77777777" w:rsidR="00946C5B" w:rsidRDefault="00946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2989871"/>
      <w:docPartObj>
        <w:docPartGallery w:val="Page Numbers (Bottom of Page)"/>
        <w:docPartUnique/>
      </w:docPartObj>
    </w:sdtPr>
    <w:sdtContent>
      <w:p w14:paraId="6F4B1C03" w14:textId="7C9A7139" w:rsidR="00966848" w:rsidRDefault="00966848" w:rsidP="00E81E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DFE05E" w14:textId="77777777" w:rsidR="00946C5B" w:rsidRDefault="00946C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5171" w14:textId="77777777" w:rsidR="00946C5B" w:rsidRDefault="00946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8DEC6" w14:textId="77777777" w:rsidR="00D5084D" w:rsidRDefault="00D5084D" w:rsidP="00D427AF">
      <w:r>
        <w:separator/>
      </w:r>
    </w:p>
  </w:footnote>
  <w:footnote w:type="continuationSeparator" w:id="0">
    <w:p w14:paraId="11C6AB86" w14:textId="77777777" w:rsidR="00D5084D" w:rsidRDefault="00D5084D" w:rsidP="00D427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92DF" w14:textId="77777777" w:rsidR="00946C5B" w:rsidRDefault="00946C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862F1" w14:textId="55214F40" w:rsidR="00D427AF" w:rsidRDefault="004C56AA" w:rsidP="00AD077D">
    <w:pPr>
      <w:pStyle w:val="Header"/>
      <w:jc w:val="center"/>
    </w:pPr>
    <w:r>
      <w:rPr>
        <w:noProof/>
      </w:rPr>
      <mc:AlternateContent>
        <mc:Choice Requires="wps">
          <w:drawing>
            <wp:anchor distT="0" distB="0" distL="114300" distR="114300" simplePos="0" relativeHeight="251659264" behindDoc="0" locked="0" layoutInCell="1" allowOverlap="1" wp14:anchorId="79EA2CC7" wp14:editId="6F4758ED">
              <wp:simplePos x="0" y="0"/>
              <wp:positionH relativeFrom="column">
                <wp:posOffset>-467995</wp:posOffset>
              </wp:positionH>
              <wp:positionV relativeFrom="paragraph">
                <wp:posOffset>-417195</wp:posOffset>
              </wp:positionV>
              <wp:extent cx="7550590" cy="860080"/>
              <wp:effectExtent l="0" t="0" r="6350" b="3810"/>
              <wp:wrapNone/>
              <wp:docPr id="2140200295" name="Rectangle 1"/>
              <wp:cNvGraphicFramePr/>
              <a:graphic xmlns:a="http://schemas.openxmlformats.org/drawingml/2006/main">
                <a:graphicData uri="http://schemas.microsoft.com/office/word/2010/wordprocessingShape">
                  <wps:wsp>
                    <wps:cNvSpPr/>
                    <wps:spPr>
                      <a:xfrm>
                        <a:off x="0" y="0"/>
                        <a:ext cx="7550590" cy="860080"/>
                      </a:xfrm>
                      <a:prstGeom prst="rect">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41F2C1" w14:textId="2246D095" w:rsidR="00056202" w:rsidRDefault="00056202" w:rsidP="00056202">
                          <w:pPr>
                            <w:jc w:val="center"/>
                            <w:rPr>
                              <w:sz w:val="36"/>
                              <w:szCs w:val="36"/>
                            </w:rPr>
                          </w:pPr>
                          <w:bookmarkStart w:id="0" w:name="header"/>
                          <w:r w:rsidRPr="00E04BC0">
                            <w:rPr>
                              <w:sz w:val="36"/>
                              <w:szCs w:val="36"/>
                            </w:rPr>
                            <w:t>Fiche de comparaison : Liban 2024 &amp; 2025</w:t>
                          </w:r>
                          <w:bookmarkEnd w:id="0"/>
                        </w:p>
                        <w:p w14:paraId="6397170D" w14:textId="1E8072A6" w:rsidR="00902713" w:rsidRPr="00E04BC0" w:rsidRDefault="00902713" w:rsidP="00056202">
                          <w:pPr>
                            <w:jc w:val="center"/>
                            <w:rPr>
                              <w:sz w:val="36"/>
                              <w:szCs w:val="36"/>
                            </w:rPr>
                          </w:pPr>
                          <w:bookmarkStart w:id="1" w:name="header2"/>
                          <w:r>
                            <w:rPr>
                              <w:sz w:val="36"/>
                              <w:szCs w:val="36"/>
                            </w:rPr>
                            <w:t>Utilisation du tabac</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EA2CC7" id="Rectangle 1" o:spid="_x0000_s1026" style="position:absolute;left:0;text-align:left;margin-left:-36.85pt;margin-top:-32.85pt;width:594.55pt;height:67.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" fillcolor="#2f5496 [2404]" stroked="f" strokeweight="1pt">
              <v:textbox>
                <w:txbxContent>
                  <w:p w14:paraId="4C41F2C1" w14:textId="2246D095" w:rsidR="00056202" w:rsidRDefault="00056202" w:rsidP="00056202">
                    <w:pPr>
                      <w:jc w:val="center"/>
                      <w:rPr>
                        <w:sz w:val="36"/>
                        <w:szCs w:val="36"/>
                      </w:rPr>
                    </w:pPr>
                    <w:bookmarkStart w:id="2" w:name="header"/>
                    <w:r w:rsidRPr="00E04BC0">
                      <w:rPr>
                        <w:sz w:val="36"/>
                        <w:szCs w:val="36"/>
                      </w:rPr>
                      <w:t>header</w:t>
                    </w:r>
                    <w:bookmarkEnd w:id="2"/>
                  </w:p>
                  <w:p w14:paraId="6397170D" w14:textId="1E8072A6" w:rsidR="00902713" w:rsidRPr="00E04BC0" w:rsidRDefault="00902713" w:rsidP="00056202">
                    <w:pPr>
                      <w:jc w:val="center"/>
                      <w:rPr>
                        <w:sz w:val="36"/>
                        <w:szCs w:val="36"/>
                      </w:rPr>
                    </w:pPr>
                    <w:bookmarkStart w:id="3" w:name="header2"/>
                    <w:r>
                      <w:rPr>
                        <w:sz w:val="36"/>
                        <w:szCs w:val="36"/>
                      </w:rPr>
                      <w:t>header2</w:t>
                    </w:r>
                    <w:bookmarkEnd w:id="3"/>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358BE" w14:textId="77777777" w:rsidR="00946C5B" w:rsidRDefault="00946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7A635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802AE9"/>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A13503B"/>
    <w:multiLevelType w:val="hybridMultilevel"/>
    <w:tmpl w:val="C0389990"/>
    <w:lvl w:ilvl="0" w:tplc="71E4AF42">
      <w:start w:val="1"/>
      <w:numFmt w:val="bullet"/>
      <w:pStyle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D3810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754354197">
    <w:abstractNumId w:val="2"/>
  </w:num>
  <w:num w:numId="2" w16cid:durableId="385421868">
    <w:abstractNumId w:val="0"/>
  </w:num>
  <w:num w:numId="3" w16cid:durableId="382798034">
    <w:abstractNumId w:val="1"/>
  </w:num>
  <w:num w:numId="4" w16cid:durableId="1191411409">
    <w:abstractNumId w:val="3"/>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F66"/>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1C2CFB"/>
    <w:pPr>
      <w:spacing w:after="100"/>
      <w:contextualSpacing/>
    </w:pPr>
    <w:rPr>
      <w:rFonts w:ascii="Gill Sans MT" w:hAnsi="Gill Sans MT"/>
      <w:sz w:val="22"/>
      <w:szCs w:val="22"/>
      <w:lang w:val="en-US"/>
    </w:rPr>
  </w:style>
  <w:style w:type="paragraph" w:styleId="ListParagraph">
    <w:name w:val="List Paragraph"/>
    <w:basedOn w:val="Normal"/>
    <w:uiPriority w:val="34"/>
    <w:qFormat/>
    <w:rsid w:val="00C47B8A"/>
    <w:pPr>
      <w:ind w:left="720"/>
      <w:contextualSpacing/>
    </w:pPr>
  </w:style>
  <w:style w:type="paragraph" w:customStyle="1" w:styleId="bullet">
    <w:name w:val="bullet"/>
    <w:basedOn w:val="ListParagraph"/>
    <w:autoRedefine/>
    <w:qFormat/>
    <w:rsid w:val="002A555B"/>
    <w:pPr>
      <w:numPr>
        <w:numId w:val="1"/>
      </w:numPr>
      <w:ind w:left="357" w:hanging="357"/>
    </w:pPr>
  </w:style>
  <w:style w:type="numbering" w:customStyle="1" w:styleId="CurrentList1">
    <w:name w:val="Current List1"/>
    <w:uiPriority w:val="99"/>
    <w:rsid w:val="009F33A2"/>
    <w:pPr>
      <w:numPr>
        <w:numId w:val="3"/>
      </w:numPr>
    </w:pPr>
  </w:style>
  <w:style w:type="paragraph" w:styleId="Header">
    <w:name w:val="header"/>
    <w:basedOn w:val="Normal"/>
    <w:link w:val="HeaderChar"/>
    <w:uiPriority w:val="99"/>
    <w:unhideWhenUsed/>
    <w:rsid w:val="00D427AF"/>
    <w:pPr>
      <w:tabs>
        <w:tab w:val="center" w:pos="4513"/>
        <w:tab w:val="right" w:pos="9026"/>
      </w:tabs>
    </w:pPr>
  </w:style>
  <w:style w:type="character" w:customStyle="1" w:styleId="HeaderChar">
    <w:name w:val="Header Char"/>
    <w:basedOn w:val="DefaultParagraphFont"/>
    <w:link w:val="Header"/>
    <w:uiPriority w:val="99"/>
    <w:rsid w:val="00D427AF"/>
  </w:style>
  <w:style w:type="paragraph" w:styleId="Footer">
    <w:name w:val="footer"/>
    <w:basedOn w:val="Normal"/>
    <w:link w:val="FooterChar"/>
    <w:uiPriority w:val="99"/>
    <w:unhideWhenUsed/>
    <w:rsid w:val="00D427AF"/>
    <w:pPr>
      <w:tabs>
        <w:tab w:val="center" w:pos="4513"/>
        <w:tab w:val="right" w:pos="9026"/>
      </w:tabs>
    </w:pPr>
  </w:style>
  <w:style w:type="character" w:customStyle="1" w:styleId="FooterChar">
    <w:name w:val="Footer Char"/>
    <w:basedOn w:val="DefaultParagraphFont"/>
    <w:link w:val="Footer"/>
    <w:uiPriority w:val="99"/>
    <w:rsid w:val="00D427AF"/>
  </w:style>
  <w:style w:type="table" w:styleId="TableGrid">
    <w:name w:val="Table Grid"/>
    <w:basedOn w:val="TableNormal"/>
    <w:uiPriority w:val="39"/>
    <w:rsid w:val="004A29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66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
<Relationship Id="rId8" Type="http://schemas.openxmlformats.org/officeDocument/2006/relationships/header" Target="header2.xml"/>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header" Target="header1.xml"/>
<Relationship Id="rId12" Type="http://schemas.openxmlformats.org/officeDocument/2006/relationships/footer" Target="footer3.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5" Type="http://schemas.openxmlformats.org/officeDocument/2006/relationships/footnotes" Target="footnotes.xml"/>
<Relationship Id="rId10"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theme" Target="theme/theme1.xml"/>
<Relationship Id="rId15" Type="http://schemas.openxmlformats.org/officeDocument/2006/relationships/image" Target="media/8984de198c9ecbf19adf148bedd3128962194bb7.png"/>
<Relationship Id="rId16" Type="http://schemas.openxmlformats.org/officeDocument/2006/relationships/image" Target="media/2518f394244e08f441ac81583a1a744a50281670.png"/>
<Relationship Id="rId17" Type="http://schemas.openxmlformats.org/officeDocument/2006/relationships/image" Target="media/3b2c3d89f4ac0a262defcc1a4b5b216b33bfa63f.png"/>
<Relationship Id="rId18" Type="http://schemas.openxmlformats.org/officeDocument/2006/relationships/image" Target="media/4ccfc53d4230597bebb189a098f80235e9cb9f19.png"/>
<Relationship Id="rId19" Type="http://schemas.openxmlformats.org/officeDocument/2006/relationships/image" Target="media/43d502ac1ebe72ec4d02a4125f6b01b5966c63a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Lucas  Malla</dc:creator>
  <cp:keywords/>
  <dc:description/>
  <cp:lastModifiedBy>lucasmalla</cp:lastModifiedBy>
  <cp:revision>29</cp:revision>
  <dcterms:created xsi:type="dcterms:W3CDTF">2025-10-01T16:57:00Z</dcterms:created>
  <dcterms:modified xsi:type="dcterms:W3CDTF">2025-10-31T13:25:35Z</dcterms:modified>
</cp:coreProperties>
</file>