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02CDA" w14:textId="77777777" w:rsidR="008A38E8" w:rsidRPr="00E41832" w:rsidRDefault="008A38E8" w:rsidP="008A38E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4571B6CC" wp14:editId="367E7E30">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79956682" w14:textId="77777777" w:rsidR="008A38E8" w:rsidRPr="00E41832" w:rsidRDefault="008A38E8" w:rsidP="008A38E8">
      <w:pPr>
        <w:pStyle w:val="Header"/>
        <w:jc w:val="right"/>
        <w:rPr>
          <w:rFonts w:asciiTheme="minorHAnsi" w:hAnsiTheme="minorHAnsi" w:cstheme="minorHAnsi"/>
          <w:b/>
          <w:bCs/>
          <w:caps/>
          <w:color w:val="008000"/>
          <w:sz w:val="40"/>
          <w:szCs w:val="40"/>
        </w:rPr>
      </w:pPr>
    </w:p>
    <w:p w14:paraId="738A75B8" w14:textId="77777777" w:rsidR="008A38E8" w:rsidRPr="00E41832" w:rsidRDefault="008A38E8" w:rsidP="008A38E8">
      <w:pPr>
        <w:pStyle w:val="Header"/>
        <w:rPr>
          <w:rFonts w:asciiTheme="minorHAnsi" w:hAnsiTheme="minorHAnsi" w:cstheme="minorHAnsi"/>
          <w:b/>
          <w:bCs/>
          <w:caps/>
          <w:color w:val="008000"/>
          <w:sz w:val="40"/>
          <w:szCs w:val="40"/>
        </w:rPr>
      </w:pPr>
    </w:p>
    <w:p w14:paraId="21D314A6" w14:textId="77777777" w:rsidR="008A38E8" w:rsidRPr="00E41832" w:rsidRDefault="008A38E8" w:rsidP="008A38E8">
      <w:pPr>
        <w:pStyle w:val="Header"/>
        <w:jc w:val="center"/>
        <w:rPr>
          <w:rFonts w:asciiTheme="minorHAnsi" w:hAnsiTheme="minorHAnsi" w:cstheme="minorHAnsi"/>
          <w:b/>
          <w:bCs/>
          <w:caps/>
          <w:color w:val="008000"/>
          <w:sz w:val="40"/>
          <w:szCs w:val="40"/>
        </w:rPr>
      </w:pPr>
    </w:p>
    <w:p w14:paraId="39CBE112" w14:textId="77777777" w:rsidR="008A38E8" w:rsidRPr="00E41832" w:rsidRDefault="008A38E8" w:rsidP="008A38E8">
      <w:pPr>
        <w:pStyle w:val="Header"/>
        <w:jc w:val="center"/>
        <w:rPr>
          <w:rFonts w:asciiTheme="minorHAnsi" w:hAnsiTheme="minorHAnsi" w:cstheme="minorHAnsi"/>
          <w:b/>
          <w:bCs/>
          <w:caps/>
          <w:color w:val="008000"/>
          <w:sz w:val="40"/>
          <w:szCs w:val="40"/>
        </w:rPr>
      </w:pPr>
    </w:p>
    <w:p w14:paraId="5D86554A" w14:textId="77777777" w:rsidR="008A38E8" w:rsidRPr="00E41832" w:rsidRDefault="008A38E8" w:rsidP="008A38E8">
      <w:pPr>
        <w:pStyle w:val="Header"/>
        <w:jc w:val="center"/>
        <w:rPr>
          <w:rFonts w:asciiTheme="minorHAnsi" w:hAnsiTheme="minorHAnsi" w:cstheme="minorHAnsi"/>
          <w:b/>
          <w:bCs/>
          <w:caps/>
          <w:color w:val="008000"/>
          <w:sz w:val="40"/>
          <w:szCs w:val="40"/>
        </w:rPr>
      </w:pPr>
    </w:p>
    <w:p w14:paraId="0582EB5A" w14:textId="77777777" w:rsidR="008A38E8" w:rsidRPr="00E41832" w:rsidRDefault="008A38E8" w:rsidP="00FB480A">
      <w:pPr>
        <w:pStyle w:val="Title"/>
      </w:pPr>
      <w:r w:rsidRPr="00E41832">
        <w:t>WHO STEPS</w:t>
      </w:r>
    </w:p>
    <w:p w14:paraId="0A8B8BA7" w14:textId="77777777" w:rsidR="008A38E8" w:rsidRPr="00E41832" w:rsidRDefault="008A38E8" w:rsidP="00FB480A">
      <w:pPr>
        <w:pStyle w:val="Title"/>
      </w:pPr>
    </w:p>
    <w:p w14:paraId="267942BD" w14:textId="77777777" w:rsidR="008A38E8" w:rsidRPr="00E41832" w:rsidRDefault="008A38E8" w:rsidP="00FB480A">
      <w:pPr>
        <w:pStyle w:val="Title"/>
      </w:pPr>
      <w:r w:rsidRPr="00E41832">
        <w:t>Noncommunicable Disease</w:t>
      </w:r>
    </w:p>
    <w:p w14:paraId="15020190" w14:textId="77777777" w:rsidR="008A38E8" w:rsidRPr="00E41832" w:rsidRDefault="008A38E8" w:rsidP="00FB480A">
      <w:pPr>
        <w:pStyle w:val="Title"/>
      </w:pPr>
      <w:r w:rsidRPr="00E41832">
        <w:t>Risk Factor Survey</w:t>
      </w:r>
    </w:p>
    <w:p w14:paraId="0902ADEF" w14:textId="77777777" w:rsidR="008A38E8" w:rsidRPr="00E41832" w:rsidRDefault="008A38E8" w:rsidP="00FB480A">
      <w:pPr>
        <w:pStyle w:val="Title"/>
        <w:rPr>
          <w:sz w:val="32"/>
          <w:szCs w:val="32"/>
        </w:rPr>
      </w:pPr>
    </w:p>
    <w:p w14:paraId="46D75B47" w14:textId="77777777" w:rsidR="008A38E8" w:rsidRPr="00E41832" w:rsidRDefault="008A38E8" w:rsidP="00FB480A">
      <w:pPr>
        <w:pStyle w:val="Title"/>
        <w:rPr>
          <w:sz w:val="32"/>
          <w:szCs w:val="32"/>
        </w:rPr>
      </w:pPr>
    </w:p>
    <w:p w14:paraId="4ED58823" w14:textId="77777777" w:rsidR="008A38E8" w:rsidRPr="00E41832" w:rsidRDefault="008A38E8" w:rsidP="00FB480A">
      <w:pPr>
        <w:pStyle w:val="Title"/>
        <w:rPr>
          <w:sz w:val="32"/>
          <w:szCs w:val="32"/>
        </w:rPr>
      </w:pPr>
    </w:p>
    <w:p w14:paraId="70D47C48" w14:textId="77777777" w:rsidR="008A38E8" w:rsidRPr="00E41832" w:rsidRDefault="008A38E8" w:rsidP="00FB480A">
      <w:pPr>
        <w:pStyle w:val="Title"/>
        <w:rPr>
          <w:sz w:val="32"/>
          <w:szCs w:val="32"/>
        </w:rPr>
      </w:pPr>
    </w:p>
    <w:p w14:paraId="22B0C0A2" w14:textId="4B5C7075" w:rsidR="008A38E8" w:rsidRPr="00E41832" w:rsidRDefault="008A38E8" w:rsidP="00FB480A">
      <w:pPr>
        <w:pStyle w:val="Title"/>
        <w:rPr>
          <w:sz w:val="32"/>
          <w:szCs w:val="32"/>
        </w:rPr>
      </w:pPr>
      <w:r w:rsidRPr="00E41832">
        <w:rPr>
          <w:sz w:val="32"/>
          <w:szCs w:val="32"/>
        </w:rPr>
        <w:t xml:space="preserve">Data Book for </w:t>
      </w:r>
      <w:r w:rsidR="00E53CBC" w:rsidRPr="00E41832">
        <w:rPr>
          <w:sz w:val="32"/>
          <w:szCs w:val="32"/>
        </w:rPr>
        <w:t>XXXX</w:t>
      </w:r>
    </w:p>
    <w:p w14:paraId="6FD1B2AF" w14:textId="5CE187E6" w:rsidR="008A38E8" w:rsidRPr="00FB480A" w:rsidRDefault="00E53CBC" w:rsidP="00FB480A">
      <w:pPr>
        <w:pStyle w:val="Title"/>
        <w:rPr>
          <w:sz w:val="32"/>
          <w:szCs w:val="32"/>
        </w:rPr>
        <w:sectPr w:rsidR="008A38E8" w:rsidRPr="00FB480A" w:rsidSect="00830FA4">
          <w:footerReference w:type="even" r:id="rId9"/>
          <w:footerReference w:type="default" r:id="rId10"/>
          <w:footerReference w:type="first" r:id="rId11"/>
          <w:pgSz w:w="11906" w:h="16838" w:code="9"/>
          <w:pgMar w:top="1134" w:right="1134" w:bottom="1134" w:left="1418" w:header="561" w:footer="561" w:gutter="0"/>
          <w:cols w:space="720"/>
          <w:titlePg/>
          <w:docGrid w:linePitch="360"/>
        </w:sectPr>
      </w:pPr>
      <w:r w:rsidRPr="00E41832">
        <w:rPr>
          <w:sz w:val="32"/>
          <w:szCs w:val="32"/>
        </w:rPr>
        <w:t>YEAR</w:t>
      </w:r>
    </w:p>
    <w:p w14:paraId="696F88F9" w14:textId="77777777" w:rsidR="006C647F" w:rsidRDefault="006C647F">
      <w:pPr>
        <w:rPr>
          <w:rFonts w:ascii="Arial" w:eastAsiaTheme="majorEastAsia" w:hAnsi="Arial" w:cstheme="majorBidi"/>
          <w:b/>
          <w:color w:val="00B050"/>
          <w:sz w:val="40"/>
          <w:szCs w:val="32"/>
        </w:rPr>
      </w:pPr>
      <w:r>
        <w:lastRenderedPageBreak/>
        <w:br w:type="page"/>
      </w:r>
    </w:p>
    <w:p w14:paraId="5D1B6F6C" w14:textId="13456CE7" w:rsidR="00FB480A" w:rsidRDefault="00995ADA" w:rsidP="00995ADA">
      <w:pPr>
        <w:pStyle w:val="Heading1"/>
      </w:pPr>
      <w:r>
        <w:lastRenderedPageBreak/>
        <w:t>Table of Contents</w:t>
      </w:r>
    </w:p>
    <w:p w14:paraId="731C325D" w14:textId="19D6B647" w:rsidR="00FB480A" w:rsidRDefault="00FB480A">
      <w:pPr>
        <w:pStyle w:val="TOC1"/>
        <w:tabs>
          <w:tab w:val="right" w:leader="dot" w:pos="9016"/>
        </w:tabs>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75839843" w:history="1">
        <w:r w:rsidRPr="00850964">
          <w:rPr>
            <w:rStyle w:val="Hyperlink"/>
            <w:rFonts w:cstheme="minorHAnsi"/>
            <w:noProof/>
          </w:rPr>
          <w:t>Introduction</w:t>
        </w:r>
        <w:r>
          <w:rPr>
            <w:noProof/>
            <w:webHidden/>
          </w:rPr>
          <w:tab/>
        </w:r>
        <w:r>
          <w:rPr>
            <w:noProof/>
            <w:webHidden/>
          </w:rPr>
          <w:fldChar w:fldCharType="begin"/>
        </w:r>
        <w:r>
          <w:rPr>
            <w:noProof/>
            <w:webHidden/>
          </w:rPr>
          <w:instrText xml:space="preserve"> PAGEREF _Toc175839843 \h </w:instrText>
        </w:r>
        <w:r>
          <w:rPr>
            <w:noProof/>
            <w:webHidden/>
          </w:rPr>
        </w:r>
        <w:r>
          <w:rPr>
            <w:noProof/>
            <w:webHidden/>
          </w:rPr>
          <w:fldChar w:fldCharType="separate"/>
        </w:r>
        <w:r>
          <w:rPr>
            <w:noProof/>
            <w:webHidden/>
          </w:rPr>
          <w:t>3</w:t>
        </w:r>
        <w:r>
          <w:rPr>
            <w:noProof/>
            <w:webHidden/>
          </w:rPr>
          <w:fldChar w:fldCharType="end"/>
        </w:r>
      </w:hyperlink>
    </w:p>
    <w:p w14:paraId="6386050A" w14:textId="1BC51AE4" w:rsidR="008A38E8" w:rsidRPr="00E41832" w:rsidRDefault="00FB480A" w:rsidP="008A38E8">
      <w:pPr>
        <w:pStyle w:val="MemoLine"/>
        <w:rPr>
          <w:rFonts w:asciiTheme="minorHAnsi" w:hAnsiTheme="minorHAnsi" w:cstheme="minorHAnsi"/>
        </w:rPr>
      </w:pPr>
      <w:r>
        <w:rPr>
          <w:rFonts w:asciiTheme="minorHAnsi" w:hAnsiTheme="minorHAnsi" w:cstheme="minorHAnsi"/>
          <w:szCs w:val="24"/>
        </w:rPr>
        <w:fldChar w:fldCharType="end"/>
      </w:r>
    </w:p>
    <w:p w14:paraId="277C3B08" w14:textId="77777777" w:rsidR="008A38E8" w:rsidRPr="00E41832" w:rsidRDefault="008A38E8" w:rsidP="008A38E8">
      <w:pPr>
        <w:rPr>
          <w:rFonts w:asciiTheme="minorHAnsi" w:hAnsiTheme="minorHAnsi" w:cstheme="minorHAnsi"/>
        </w:rPr>
      </w:pPr>
      <w:r w:rsidRPr="00E41832">
        <w:rPr>
          <w:rFonts w:asciiTheme="minorHAnsi" w:hAnsiTheme="minorHAnsi" w:cstheme="minorHAnsi"/>
          <w:b/>
          <w:bCs/>
        </w:rPr>
        <w:t>IMPORTANT:</w:t>
      </w:r>
      <w:r w:rsidRPr="00E41832">
        <w:rPr>
          <w:rFonts w:asciiTheme="minorHAnsi" w:hAnsiTheme="minorHAnsi" w:cstheme="minorHAnsi"/>
        </w:rPr>
        <w:t xml:space="preserve"> </w:t>
      </w:r>
    </w:p>
    <w:p w14:paraId="63F1790C" w14:textId="77777777" w:rsidR="008A38E8" w:rsidRPr="00E41832" w:rsidRDefault="008A38E8"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analyses use the variables </w:t>
      </w:r>
      <w:proofErr w:type="spellStart"/>
      <w:r w:rsidRPr="00E41832">
        <w:rPr>
          <w:rFonts w:asciiTheme="minorHAnsi" w:hAnsiTheme="minorHAnsi" w:cstheme="minorHAnsi"/>
          <w:b/>
          <w:bCs/>
          <w:lang w:val="en-GB"/>
        </w:rPr>
        <w:t>AgeRange</w:t>
      </w:r>
      <w:proofErr w:type="spellEnd"/>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You may use the AgeRange1869 and </w:t>
      </w:r>
      <w:proofErr w:type="spellStart"/>
      <w:r w:rsidRPr="00E41832">
        <w:rPr>
          <w:rFonts w:asciiTheme="minorHAnsi" w:hAnsiTheme="minorHAnsi" w:cstheme="minorHAnsi"/>
          <w:lang w:val="en-GB"/>
        </w:rPr>
        <w:t>MissingAgeSex</w:t>
      </w:r>
      <w:proofErr w:type="spellEnd"/>
      <w:r w:rsidRPr="00E41832">
        <w:rPr>
          <w:rFonts w:asciiTheme="minorHAnsi" w:hAnsiTheme="minorHAnsi" w:cstheme="minorHAnsi"/>
          <w:lang w:val="en-GB"/>
        </w:rPr>
        <w:t xml:space="preserve"> programs to generate these variables from </w:t>
      </w:r>
      <w:r w:rsidRPr="00E41832">
        <w:rPr>
          <w:rFonts w:asciiTheme="minorHAnsi" w:hAnsiTheme="minorHAnsi" w:cstheme="minorHAnsi"/>
          <w:b/>
          <w:bCs/>
          <w:lang w:val="en-GB"/>
        </w:rPr>
        <w:t>C1</w:t>
      </w:r>
      <w:r w:rsidRPr="00E41832">
        <w:rPr>
          <w:rFonts w:asciiTheme="minorHAnsi" w:hAnsiTheme="minorHAnsi" w:cstheme="minorHAnsi"/>
          <w:lang w:val="en-GB"/>
        </w:rPr>
        <w:t xml:space="preserve">, </w:t>
      </w:r>
      <w:r w:rsidRPr="00E41832">
        <w:rPr>
          <w:rFonts w:asciiTheme="minorHAnsi" w:hAnsiTheme="minorHAnsi" w:cstheme="minorHAnsi"/>
          <w:b/>
          <w:bCs/>
          <w:lang w:val="en-GB"/>
        </w:rPr>
        <w:t>C2</w:t>
      </w:r>
      <w:r w:rsidRPr="00E41832">
        <w:rPr>
          <w:rFonts w:asciiTheme="minorHAnsi" w:hAnsiTheme="minorHAnsi" w:cstheme="minorHAnsi"/>
          <w:lang w:val="en-GB"/>
        </w:rPr>
        <w:t xml:space="preserve">, and </w:t>
      </w:r>
      <w:r w:rsidRPr="00E41832">
        <w:rPr>
          <w:rFonts w:asciiTheme="minorHAnsi" w:hAnsiTheme="minorHAnsi" w:cstheme="minorHAnsi"/>
          <w:b/>
          <w:bCs/>
          <w:lang w:val="en-GB"/>
        </w:rPr>
        <w:t>C3</w:t>
      </w:r>
      <w:r w:rsidRPr="00E41832">
        <w:rPr>
          <w:rFonts w:asciiTheme="minorHAnsi" w:hAnsiTheme="minorHAnsi" w:cstheme="minorHAnsi"/>
          <w:lang w:val="en-GB"/>
        </w:rPr>
        <w:t>.</w:t>
      </w:r>
    </w:p>
    <w:p w14:paraId="41BDA4B7" w14:textId="77777777" w:rsidR="008A38E8" w:rsidRPr="00E41832" w:rsidRDefault="008A38E8" w:rsidP="008A38E8">
      <w:pPr>
        <w:pStyle w:val="BulletText1"/>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2364D4C7" w14:textId="77777777" w:rsidR="008A38E8" w:rsidRPr="00E41832" w:rsidRDefault="008A38E8" w:rsidP="008A38E8">
      <w:pPr>
        <w:pStyle w:val="BulletText1"/>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3FC61A1A" w14:textId="77777777" w:rsidR="002E513C" w:rsidRPr="00E41832" w:rsidRDefault="002E513C">
      <w:pPr>
        <w:rPr>
          <w:rFonts w:asciiTheme="minorHAnsi" w:hAnsiTheme="minorHAnsi" w:cstheme="minorHAnsi"/>
          <w:b/>
          <w:color w:val="008000"/>
          <w:sz w:val="32"/>
          <w:szCs w:val="20"/>
        </w:rPr>
      </w:pPr>
      <w:bookmarkStart w:id="0" w:name="_Toc142561032"/>
      <w:bookmarkStart w:id="1" w:name="_Ref110159987"/>
      <w:bookmarkStart w:id="2" w:name="_Ref110160387"/>
      <w:r w:rsidRPr="00E41832">
        <w:rPr>
          <w:rFonts w:asciiTheme="minorHAnsi" w:hAnsiTheme="minorHAnsi" w:cstheme="minorHAnsi"/>
        </w:rPr>
        <w:br w:type="page"/>
      </w:r>
    </w:p>
    <w:p w14:paraId="0DDB12B9" w14:textId="5533D02C" w:rsidR="008A38E8" w:rsidRPr="00E41832" w:rsidRDefault="008A38E8" w:rsidP="002E513C">
      <w:pPr>
        <w:pStyle w:val="Heading1"/>
        <w:rPr>
          <w:rFonts w:asciiTheme="minorHAnsi" w:hAnsiTheme="minorHAnsi" w:cstheme="minorHAnsi"/>
        </w:rPr>
      </w:pPr>
      <w:bookmarkStart w:id="3" w:name="_Toc175836993"/>
      <w:bookmarkStart w:id="4" w:name="_Toc175839843"/>
      <w:r w:rsidRPr="00E41832">
        <w:rPr>
          <w:rFonts w:asciiTheme="minorHAnsi" w:hAnsiTheme="minorHAnsi" w:cstheme="minorHAnsi"/>
        </w:rPr>
        <w:lastRenderedPageBreak/>
        <w:t>Introduction</w:t>
      </w:r>
      <w:bookmarkEnd w:id="0"/>
      <w:bookmarkEnd w:id="3"/>
      <w:bookmarkEnd w:id="4"/>
    </w:p>
    <w:p w14:paraId="2869ECCB" w14:textId="77777777" w:rsidR="008A38E8" w:rsidRPr="00E41832" w:rsidRDefault="008A38E8" w:rsidP="008A38E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8A38E8" w:rsidRPr="00E41832" w14:paraId="1B433775" w14:textId="77777777" w:rsidTr="00211F15">
        <w:tc>
          <w:tcPr>
            <w:tcW w:w="1728" w:type="dxa"/>
            <w:shd w:val="clear" w:color="auto" w:fill="auto"/>
          </w:tcPr>
          <w:p w14:paraId="02ADFA52" w14:textId="77777777" w:rsidR="008A38E8" w:rsidRPr="00E41832" w:rsidRDefault="008A38E8" w:rsidP="00211F15">
            <w:pPr>
              <w:outlineLvl w:val="4"/>
              <w:rPr>
                <w:rFonts w:asciiTheme="minorHAnsi" w:hAnsiTheme="minorHAnsi" w:cstheme="minorHAnsi"/>
                <w:b/>
                <w:sz w:val="22"/>
                <w:szCs w:val="20"/>
              </w:rPr>
            </w:pPr>
            <w:r w:rsidRPr="00E41832">
              <w:rPr>
                <w:rFonts w:asciiTheme="minorHAnsi" w:hAnsiTheme="minorHAnsi" w:cstheme="minorHAnsi"/>
                <w:b/>
                <w:sz w:val="22"/>
                <w:szCs w:val="20"/>
              </w:rPr>
              <w:t>Purpose of the data book</w:t>
            </w:r>
          </w:p>
        </w:tc>
        <w:tc>
          <w:tcPr>
            <w:tcW w:w="7735" w:type="dxa"/>
            <w:shd w:val="clear" w:color="auto" w:fill="auto"/>
          </w:tcPr>
          <w:p w14:paraId="6768D5B5" w14:textId="77777777" w:rsidR="008A38E8" w:rsidRPr="00E41832" w:rsidRDefault="008A38E8" w:rsidP="00211F15">
            <w:pPr>
              <w:rPr>
                <w:rFonts w:asciiTheme="minorHAnsi" w:hAnsiTheme="minorHAnsi" w:cstheme="minorHAnsi"/>
              </w:rPr>
            </w:pPr>
            <w:r w:rsidRPr="00E41832">
              <w:rPr>
                <w:rFonts w:asciiTheme="minorHAnsi" w:hAnsiTheme="minorHAnsi" w:cstheme="minorHAnsi"/>
              </w:rPr>
              <w:t>This data book is a tool used to compile a complete set of data results relating to each question and measurement in the STEPS Instrument.  The STEPS data book</w:t>
            </w:r>
          </w:p>
          <w:p w14:paraId="3BDB6A42" w14:textId="77777777" w:rsidR="008A38E8" w:rsidRPr="00E41832" w:rsidRDefault="008A38E8" w:rsidP="008A38E8">
            <w:pPr>
              <w:pStyle w:val="BulletText1"/>
              <w:numPr>
                <w:ilvl w:val="0"/>
                <w:numId w:val="2"/>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6B8826DD" w14:textId="77777777" w:rsidR="008A38E8" w:rsidRPr="00E41832" w:rsidRDefault="008A38E8" w:rsidP="008A38E8">
            <w:pPr>
              <w:pStyle w:val="BulletText1"/>
              <w:numPr>
                <w:ilvl w:val="0"/>
                <w:numId w:val="2"/>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6147D1A9" w14:textId="77777777" w:rsidR="008A38E8" w:rsidRPr="00E41832" w:rsidRDefault="008A38E8" w:rsidP="008A38E8">
            <w:pPr>
              <w:pStyle w:val="BulletText1"/>
              <w:numPr>
                <w:ilvl w:val="0"/>
                <w:numId w:val="2"/>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7CB34F07" w14:textId="77777777" w:rsidR="008A38E8" w:rsidRPr="00E41832" w:rsidRDefault="008A38E8" w:rsidP="008A38E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8A38E8" w:rsidRPr="00E41832" w14:paraId="7C512362" w14:textId="77777777" w:rsidTr="00211F15">
        <w:tc>
          <w:tcPr>
            <w:tcW w:w="1728" w:type="dxa"/>
            <w:shd w:val="clear" w:color="auto" w:fill="auto"/>
          </w:tcPr>
          <w:p w14:paraId="05EBC359" w14:textId="77777777" w:rsidR="008A38E8" w:rsidRPr="00E41832" w:rsidRDefault="008A38E8" w:rsidP="00211F15">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40B1CDED" w14:textId="77777777" w:rsidR="008A38E8" w:rsidRPr="00E41832" w:rsidRDefault="008A38E8" w:rsidP="00211F15">
            <w:pPr>
              <w:rPr>
                <w:rFonts w:asciiTheme="minorHAnsi" w:hAnsiTheme="minorHAnsi" w:cstheme="minorHAnsi"/>
              </w:rPr>
            </w:pPr>
            <w:r w:rsidRPr="00E41832">
              <w:rPr>
                <w:rFonts w:asciiTheme="minorHAnsi" w:hAnsiTheme="minorHAnsi" w:cstheme="minorHAnsi"/>
              </w:rPr>
              <w:t>Each page in the data book contains a different table with:</w:t>
            </w:r>
          </w:p>
          <w:p w14:paraId="0035D777" w14:textId="77777777" w:rsidR="008A38E8" w:rsidRPr="00E41832" w:rsidRDefault="008A38E8" w:rsidP="008A38E8">
            <w:pPr>
              <w:pStyle w:val="ListParagraph"/>
              <w:numPr>
                <w:ilvl w:val="0"/>
                <w:numId w:val="3"/>
              </w:numPr>
              <w:spacing w:after="0" w:line="240" w:lineRule="auto"/>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2C97A5F5" w14:textId="77777777" w:rsidR="008A38E8" w:rsidRPr="00E41832" w:rsidRDefault="008A38E8" w:rsidP="008A38E8">
            <w:pPr>
              <w:pStyle w:val="ListParagraph"/>
              <w:numPr>
                <w:ilvl w:val="0"/>
                <w:numId w:val="3"/>
              </w:numPr>
              <w:spacing w:after="0" w:line="240" w:lineRule="auto"/>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50C6648C" w14:textId="77777777" w:rsidR="008A38E8" w:rsidRPr="00E41832" w:rsidRDefault="008A38E8" w:rsidP="008A38E8">
            <w:pPr>
              <w:pStyle w:val="ListParagraph"/>
              <w:numPr>
                <w:ilvl w:val="0"/>
                <w:numId w:val="3"/>
              </w:numPr>
              <w:spacing w:after="0" w:line="240" w:lineRule="auto"/>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660C2E17" w14:textId="77777777" w:rsidR="008A38E8" w:rsidRPr="00E41832" w:rsidRDefault="008A38E8" w:rsidP="008A38E8">
            <w:pPr>
              <w:pStyle w:val="ListParagraph"/>
              <w:numPr>
                <w:ilvl w:val="0"/>
                <w:numId w:val="3"/>
              </w:numPr>
              <w:spacing w:after="0" w:line="240" w:lineRule="auto"/>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4FC7708B" w14:textId="77777777" w:rsidR="008A38E8" w:rsidRPr="00E41832" w:rsidRDefault="008A38E8" w:rsidP="008A38E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8A38E8" w:rsidRPr="00E41832" w14:paraId="21083AED" w14:textId="77777777" w:rsidTr="00211F15">
        <w:tc>
          <w:tcPr>
            <w:tcW w:w="1728" w:type="dxa"/>
            <w:shd w:val="clear" w:color="auto" w:fill="auto"/>
          </w:tcPr>
          <w:p w14:paraId="31356DC6" w14:textId="77777777" w:rsidR="008A38E8" w:rsidRPr="00E41832" w:rsidRDefault="008A38E8" w:rsidP="00211F15">
            <w:pPr>
              <w:outlineLvl w:val="4"/>
              <w:rPr>
                <w:rFonts w:asciiTheme="minorHAnsi" w:hAnsiTheme="minorHAnsi" w:cstheme="minorHAnsi"/>
                <w:b/>
                <w:sz w:val="22"/>
                <w:szCs w:val="20"/>
              </w:rPr>
            </w:pPr>
            <w:r w:rsidRPr="00E41832">
              <w:rPr>
                <w:rFonts w:asciiTheme="minorHAnsi" w:hAnsiTheme="minorHAnsi" w:cstheme="minorHAnsi"/>
                <w:b/>
                <w:sz w:val="22"/>
                <w:szCs w:val="20"/>
              </w:rPr>
              <w:t>Global Action Plan 2013-2020 and Global Monitoring Framework</w:t>
            </w:r>
          </w:p>
        </w:tc>
        <w:tc>
          <w:tcPr>
            <w:tcW w:w="7735" w:type="dxa"/>
          </w:tcPr>
          <w:p w14:paraId="69C10045" w14:textId="77777777" w:rsidR="008A38E8" w:rsidRPr="00E41832" w:rsidRDefault="008A38E8" w:rsidP="00211F15">
            <w:pPr>
              <w:rPr>
                <w:rFonts w:asciiTheme="minorHAnsi" w:hAnsiTheme="minorHAnsi" w:cstheme="minorHAnsi"/>
              </w:rPr>
            </w:pPr>
            <w:r w:rsidRPr="00E41832">
              <w:rPr>
                <w:rFonts w:asciiTheme="minorHAnsi" w:hAnsiTheme="minorHAnsi" w:cstheme="minorHAnsi"/>
              </w:rPr>
              <w:t>STEPS captures 11 of the 25 indicators outlined in the Global Action Plan 2013-2020 and the 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2C3451E0" w14:textId="77777777" w:rsidR="008A38E8" w:rsidRPr="00E41832" w:rsidRDefault="008A38E8" w:rsidP="00211F15">
            <w:pPr>
              <w:tabs>
                <w:tab w:val="num" w:pos="173"/>
              </w:tabs>
              <w:rPr>
                <w:rFonts w:asciiTheme="minorHAnsi" w:hAnsiTheme="minorHAnsi" w:cstheme="minorHAnsi"/>
                <w:szCs w:val="20"/>
              </w:rPr>
            </w:pPr>
          </w:p>
          <w:p w14:paraId="6E35CD0C" w14:textId="77777777" w:rsidR="008A38E8" w:rsidRPr="00E41832" w:rsidRDefault="008A38E8" w:rsidP="00211F15">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53C9496C" w14:textId="77777777" w:rsidR="008A38E8" w:rsidRPr="00E41832" w:rsidRDefault="008A38E8" w:rsidP="008A38E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8A38E8" w:rsidRPr="00E41832" w14:paraId="7320EA2B" w14:textId="77777777" w:rsidTr="00211F15">
        <w:tc>
          <w:tcPr>
            <w:tcW w:w="1728" w:type="dxa"/>
            <w:shd w:val="clear" w:color="auto" w:fill="auto"/>
          </w:tcPr>
          <w:p w14:paraId="6C129E55" w14:textId="77777777" w:rsidR="008A38E8" w:rsidRPr="00E41832" w:rsidRDefault="008A38E8" w:rsidP="00211F15">
            <w:pPr>
              <w:outlineLvl w:val="4"/>
              <w:rPr>
                <w:rFonts w:asciiTheme="minorHAnsi" w:hAnsiTheme="minorHAnsi" w:cstheme="minorHAnsi"/>
                <w:b/>
                <w:sz w:val="22"/>
                <w:szCs w:val="20"/>
              </w:rPr>
            </w:pPr>
            <w:r w:rsidRPr="00E41832">
              <w:rPr>
                <w:rFonts w:asciiTheme="minorHAnsi" w:hAnsiTheme="minorHAnsi" w:cstheme="minorHAnsi"/>
                <w:b/>
                <w:sz w:val="22"/>
                <w:szCs w:val="20"/>
              </w:rPr>
              <w:t>Tables in the data book relating to the Global Monitoring Framework</w:t>
            </w:r>
          </w:p>
        </w:tc>
        <w:tc>
          <w:tcPr>
            <w:tcW w:w="7735" w:type="dxa"/>
          </w:tcPr>
          <w:p w14:paraId="21510483" w14:textId="77777777" w:rsidR="008A38E8" w:rsidRPr="00E41832" w:rsidRDefault="008A38E8" w:rsidP="00211F15">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3C26E324" w14:textId="77777777" w:rsidR="008A38E8" w:rsidRPr="00E41832" w:rsidRDefault="008A38E8" w:rsidP="00211F15">
            <w:pPr>
              <w:tabs>
                <w:tab w:val="num" w:pos="173"/>
              </w:tabs>
              <w:rPr>
                <w:rFonts w:asciiTheme="minorHAnsi" w:hAnsiTheme="minorHAnsi" w:cstheme="minorHAnsi"/>
                <w:szCs w:val="20"/>
              </w:rPr>
            </w:pPr>
          </w:p>
          <w:p w14:paraId="3AE4B5D8" w14:textId="77777777" w:rsidR="008A38E8" w:rsidRPr="00E41832" w:rsidRDefault="008A38E8" w:rsidP="00211F15">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2DBBB541" wp14:editId="152552D6">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50C4777F" w14:textId="77777777" w:rsidR="008A38E8" w:rsidRPr="00E41832" w:rsidRDefault="008A38E8" w:rsidP="008A38E8">
      <w:pPr>
        <w:pStyle w:val="BlockLine"/>
        <w:rPr>
          <w:rFonts w:asciiTheme="minorHAnsi" w:hAnsiTheme="minorHAnsi" w:cstheme="minorHAnsi"/>
        </w:rPr>
      </w:pPr>
    </w:p>
    <w:p w14:paraId="1C2910FD" w14:textId="77777777" w:rsidR="008A38E8" w:rsidRPr="00E41832" w:rsidRDefault="008A38E8" w:rsidP="008A38E8">
      <w:pPr>
        <w:rPr>
          <w:rFonts w:asciiTheme="minorHAnsi" w:hAnsiTheme="minorHAnsi" w:cstheme="minorHAnsi"/>
        </w:rPr>
      </w:pPr>
    </w:p>
    <w:p w14:paraId="6E7D892F" w14:textId="77777777" w:rsidR="008A38E8" w:rsidRPr="00E41832" w:rsidRDefault="008A38E8" w:rsidP="008A38E8">
      <w:pPr>
        <w:rPr>
          <w:rFonts w:asciiTheme="minorHAnsi" w:hAnsiTheme="minorHAnsi" w:cstheme="minorHAnsi"/>
        </w:rPr>
      </w:pPr>
    </w:p>
    <w:p w14:paraId="3B9F50A6" w14:textId="77777777" w:rsidR="008A38E8" w:rsidRPr="00E41832" w:rsidRDefault="008A38E8" w:rsidP="008A38E8">
      <w:pPr>
        <w:rPr>
          <w:rFonts w:asciiTheme="minorHAnsi" w:hAnsiTheme="minorHAnsi" w:cstheme="minorHAnsi"/>
        </w:rPr>
      </w:pPr>
    </w:p>
    <w:p w14:paraId="21C05CF9" w14:textId="77777777" w:rsidR="00CE5D80" w:rsidRPr="00E41832" w:rsidRDefault="00CE5D80" w:rsidP="008A38E8">
      <w:pPr>
        <w:rPr>
          <w:rFonts w:asciiTheme="minorHAnsi" w:hAnsiTheme="minorHAnsi" w:cstheme="minorHAnsi"/>
        </w:rPr>
      </w:pPr>
    </w:p>
    <w:p w14:paraId="13CFD253" w14:textId="77777777" w:rsidR="00CE5D80" w:rsidRPr="00E41832" w:rsidRDefault="00CE5D80" w:rsidP="008A38E8">
      <w:pPr>
        <w:rPr>
          <w:rFonts w:asciiTheme="minorHAnsi" w:hAnsiTheme="minorHAnsi" w:cstheme="minorHAnsi"/>
        </w:rPr>
      </w:pPr>
    </w:p>
    <w:p w14:paraId="57611A29" w14:textId="77777777" w:rsidR="00CE5D80" w:rsidRPr="00E41832" w:rsidRDefault="00CE5D80" w:rsidP="008A38E8">
      <w:pPr>
        <w:rPr>
          <w:rFonts w:asciiTheme="minorHAnsi" w:hAnsiTheme="minorHAnsi" w:cstheme="minorHAnsi"/>
        </w:rPr>
      </w:pPr>
    </w:p>
    <w:p w14:paraId="69E5B2C4" w14:textId="77777777" w:rsidR="008A38E8" w:rsidRPr="00E41832" w:rsidRDefault="008A38E8"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07"/>
        <w:gridCol w:w="2428"/>
        <w:gridCol w:w="4831"/>
      </w:tblGrid>
      <w:tr w:rsidR="008A38E8" w:rsidRPr="00E41832" w14:paraId="445CBEC7" w14:textId="77777777" w:rsidTr="00211F15">
        <w:tc>
          <w:tcPr>
            <w:tcW w:w="1515" w:type="dxa"/>
            <w:tcBorders>
              <w:right w:val="single" w:sz="4" w:space="0" w:color="auto"/>
            </w:tcBorders>
            <w:shd w:val="clear" w:color="auto" w:fill="34A4F0"/>
            <w:tcMar>
              <w:top w:w="57" w:type="dxa"/>
              <w:bottom w:w="57" w:type="dxa"/>
            </w:tcMar>
            <w:vAlign w:val="center"/>
          </w:tcPr>
          <w:p w14:paraId="2C07E777" w14:textId="77777777" w:rsidR="008A38E8" w:rsidRPr="00E41832" w:rsidRDefault="008A38E8" w:rsidP="009E6068">
            <w:pPr>
              <w:autoSpaceDE w:val="0"/>
              <w:autoSpaceDN w:val="0"/>
              <w:adjustRightInd w:val="0"/>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lastRenderedPageBreak/>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4647870A" w14:textId="77777777" w:rsidR="008A38E8" w:rsidRPr="00E41832" w:rsidRDefault="008A38E8" w:rsidP="009E6068">
            <w:pPr>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t>Target</w:t>
            </w:r>
          </w:p>
        </w:tc>
        <w:tc>
          <w:tcPr>
            <w:tcW w:w="5165" w:type="dxa"/>
            <w:tcBorders>
              <w:left w:val="single" w:sz="4" w:space="0" w:color="auto"/>
            </w:tcBorders>
            <w:shd w:val="clear" w:color="auto" w:fill="34A4F0"/>
            <w:tcMar>
              <w:top w:w="57" w:type="dxa"/>
              <w:bottom w:w="57" w:type="dxa"/>
            </w:tcMar>
            <w:vAlign w:val="center"/>
          </w:tcPr>
          <w:p w14:paraId="4114570F" w14:textId="77777777" w:rsidR="008A38E8" w:rsidRPr="00E41832" w:rsidRDefault="008A38E8" w:rsidP="009E6068">
            <w:pPr>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t>Indicator</w:t>
            </w:r>
          </w:p>
        </w:tc>
      </w:tr>
      <w:tr w:rsidR="008A38E8" w:rsidRPr="00E41832" w14:paraId="3770A5AB"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350FBA73" w14:textId="77777777" w:rsidR="008A38E8" w:rsidRPr="00E41832" w:rsidRDefault="008A38E8" w:rsidP="009E6068">
            <w:pPr>
              <w:rPr>
                <w:rFonts w:asciiTheme="minorHAnsi" w:eastAsiaTheme="minorEastAsia" w:hAnsiTheme="minorHAnsi" w:cstheme="minorHAnsi"/>
                <w:color w:val="auto"/>
                <w:sz w:val="20"/>
                <w:szCs w:val="20"/>
                <w:lang w:val="en-GB"/>
              </w:rPr>
            </w:pPr>
            <w:r w:rsidRPr="00E41832">
              <w:rPr>
                <w:rFonts w:asciiTheme="minorHAnsi" w:eastAsiaTheme="minorEastAsia" w:hAnsiTheme="minorHAnsi" w:cstheme="minorHAnsi"/>
                <w:color w:val="0A91C4"/>
                <w:sz w:val="20"/>
                <w:szCs w:val="20"/>
                <w:lang w:val="en-GB"/>
              </w:rPr>
              <w:t>MORTALITY AND MORBIDITY</w:t>
            </w:r>
          </w:p>
        </w:tc>
      </w:tr>
      <w:tr w:rsidR="008A38E8" w:rsidRPr="00E41832" w14:paraId="1D2AB90B" w14:textId="77777777" w:rsidTr="00211F15">
        <w:trPr>
          <w:trHeight w:val="697"/>
        </w:trPr>
        <w:tc>
          <w:tcPr>
            <w:tcW w:w="1515" w:type="dxa"/>
            <w:tcBorders>
              <w:right w:val="single" w:sz="4" w:space="0" w:color="auto"/>
            </w:tcBorders>
            <w:tcMar>
              <w:top w:w="57" w:type="dxa"/>
              <w:bottom w:w="57" w:type="dxa"/>
            </w:tcMar>
          </w:tcPr>
          <w:p w14:paraId="77906D6E"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414142"/>
                <w:sz w:val="16"/>
                <w:szCs w:val="16"/>
                <w:lang w:val="en-GB"/>
              </w:rPr>
              <w:t>Premature mortality from noncommunicable disease</w:t>
            </w:r>
          </w:p>
        </w:tc>
        <w:tc>
          <w:tcPr>
            <w:tcW w:w="2551" w:type="dxa"/>
            <w:tcBorders>
              <w:left w:val="single" w:sz="4" w:space="0" w:color="auto"/>
              <w:right w:val="single" w:sz="4" w:space="0" w:color="auto"/>
            </w:tcBorders>
            <w:tcMar>
              <w:top w:w="57" w:type="dxa"/>
              <w:bottom w:w="57" w:type="dxa"/>
            </w:tcMar>
          </w:tcPr>
          <w:p w14:paraId="7AC30CC5"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1. </w:t>
            </w:r>
            <w:r w:rsidRPr="00E41832">
              <w:rPr>
                <w:rFonts w:asciiTheme="minorHAnsi" w:eastAsiaTheme="minorEastAsia" w:hAnsiTheme="minorHAnsi" w:cstheme="minorHAnsi"/>
                <w:color w:val="414142"/>
                <w:sz w:val="16"/>
                <w:szCs w:val="16"/>
                <w:lang w:val="en-GB"/>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27CDCC7E"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1. </w:t>
            </w:r>
            <w:r w:rsidRPr="00E41832">
              <w:rPr>
                <w:rFonts w:asciiTheme="minorHAnsi" w:eastAsiaTheme="minorEastAsia" w:hAnsiTheme="minorHAnsi" w:cstheme="minorHAnsi"/>
                <w:color w:val="414142"/>
                <w:sz w:val="16"/>
                <w:szCs w:val="16"/>
                <w:lang w:val="en-GB"/>
              </w:rPr>
              <w:t>Unconditional probability of dying between ages of 30 and 70 from cardiovascular diseases, cancer, diabetes or chronic respiratory diseases</w:t>
            </w:r>
          </w:p>
        </w:tc>
      </w:tr>
      <w:tr w:rsidR="008A38E8" w:rsidRPr="00E41832" w14:paraId="313D46F0" w14:textId="77777777" w:rsidTr="00211F15">
        <w:trPr>
          <w:trHeight w:val="249"/>
        </w:trPr>
        <w:tc>
          <w:tcPr>
            <w:tcW w:w="4066" w:type="dxa"/>
            <w:gridSpan w:val="2"/>
            <w:tcBorders>
              <w:right w:val="single" w:sz="4" w:space="0" w:color="auto"/>
            </w:tcBorders>
            <w:tcMar>
              <w:top w:w="57" w:type="dxa"/>
              <w:bottom w:w="57" w:type="dxa"/>
            </w:tcMar>
          </w:tcPr>
          <w:p w14:paraId="0B09A87A"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 xml:space="preserve">Additional indicator </w:t>
            </w:r>
          </w:p>
        </w:tc>
        <w:tc>
          <w:tcPr>
            <w:tcW w:w="5165" w:type="dxa"/>
            <w:tcBorders>
              <w:left w:val="single" w:sz="4" w:space="0" w:color="auto"/>
            </w:tcBorders>
            <w:tcMar>
              <w:top w:w="57" w:type="dxa"/>
              <w:bottom w:w="57" w:type="dxa"/>
            </w:tcMar>
          </w:tcPr>
          <w:p w14:paraId="0C90FCC2"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2. </w:t>
            </w:r>
            <w:r w:rsidRPr="00E41832">
              <w:rPr>
                <w:rFonts w:asciiTheme="minorHAnsi" w:eastAsiaTheme="minorEastAsia" w:hAnsiTheme="minorHAnsi" w:cstheme="minorHAnsi"/>
                <w:color w:val="414142"/>
                <w:sz w:val="16"/>
                <w:szCs w:val="16"/>
                <w:lang w:val="en-GB"/>
              </w:rPr>
              <w:t>Cancer incidence, by type of cancer, per 100 000 population</w:t>
            </w:r>
          </w:p>
        </w:tc>
      </w:tr>
      <w:tr w:rsidR="008A38E8" w:rsidRPr="00E41832" w14:paraId="5B183B86"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16D74254" w14:textId="77777777" w:rsidR="008A38E8" w:rsidRPr="00E41832" w:rsidRDefault="008A38E8" w:rsidP="009E6068">
            <w:pPr>
              <w:rPr>
                <w:rFonts w:asciiTheme="minorHAnsi" w:eastAsiaTheme="minorEastAsia" w:hAnsiTheme="minorHAnsi" w:cstheme="minorHAnsi"/>
                <w:color w:val="auto"/>
                <w:sz w:val="20"/>
                <w:szCs w:val="20"/>
                <w:lang w:val="en-GB"/>
              </w:rPr>
            </w:pPr>
            <w:r w:rsidRPr="00E41832">
              <w:rPr>
                <w:rFonts w:asciiTheme="minorHAnsi" w:eastAsiaTheme="minorEastAsia" w:hAnsiTheme="minorHAnsi" w:cstheme="minorHAnsi"/>
                <w:color w:val="0A91C4"/>
                <w:sz w:val="20"/>
                <w:szCs w:val="20"/>
                <w:lang w:val="en-GB"/>
              </w:rPr>
              <w:t>BEHAVIOURAL RISK FACTORS</w:t>
            </w:r>
          </w:p>
        </w:tc>
      </w:tr>
      <w:tr w:rsidR="008A38E8" w:rsidRPr="00E41832" w14:paraId="55F86803" w14:textId="77777777" w:rsidTr="00211F15">
        <w:trPr>
          <w:trHeight w:val="641"/>
        </w:trPr>
        <w:tc>
          <w:tcPr>
            <w:tcW w:w="1515" w:type="dxa"/>
            <w:tcBorders>
              <w:right w:val="single" w:sz="4" w:space="0" w:color="auto"/>
            </w:tcBorders>
            <w:tcMar>
              <w:top w:w="57" w:type="dxa"/>
              <w:bottom w:w="57" w:type="dxa"/>
            </w:tcMar>
          </w:tcPr>
          <w:p w14:paraId="4BB0678F"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Harmful use of alcohol</w:t>
            </w:r>
          </w:p>
        </w:tc>
        <w:tc>
          <w:tcPr>
            <w:tcW w:w="2551" w:type="dxa"/>
            <w:tcBorders>
              <w:left w:val="single" w:sz="4" w:space="0" w:color="auto"/>
              <w:right w:val="single" w:sz="4" w:space="0" w:color="auto"/>
            </w:tcBorders>
            <w:tcMar>
              <w:top w:w="57" w:type="dxa"/>
              <w:bottom w:w="57" w:type="dxa"/>
            </w:tcMar>
          </w:tcPr>
          <w:p w14:paraId="4981B7A9"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2. </w:t>
            </w:r>
            <w:r w:rsidRPr="00E41832">
              <w:rPr>
                <w:rFonts w:asciiTheme="minorHAnsi" w:eastAsiaTheme="minorEastAsia" w:hAnsiTheme="minorHAnsi" w:cstheme="minorHAnsi"/>
                <w:color w:val="414142"/>
                <w:sz w:val="16"/>
                <w:szCs w:val="16"/>
                <w:lang w:val="en-GB"/>
              </w:rPr>
              <w:t>At least 10% relative reduction in the harmful use of alcohol, as appropriate, within the national context</w:t>
            </w:r>
          </w:p>
        </w:tc>
        <w:tc>
          <w:tcPr>
            <w:tcW w:w="5165" w:type="dxa"/>
            <w:tcBorders>
              <w:left w:val="single" w:sz="4" w:space="0" w:color="auto"/>
            </w:tcBorders>
            <w:tcMar>
              <w:top w:w="57" w:type="dxa"/>
              <w:bottom w:w="57" w:type="dxa"/>
            </w:tcMar>
          </w:tcPr>
          <w:p w14:paraId="106F98A7"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3. </w:t>
            </w:r>
            <w:r w:rsidRPr="00E41832">
              <w:rPr>
                <w:rFonts w:asciiTheme="minorHAnsi" w:eastAsiaTheme="minorEastAsia" w:hAnsiTheme="minorHAnsi" w:cstheme="minorHAnsi"/>
                <w:color w:val="414142"/>
                <w:sz w:val="16"/>
                <w:szCs w:val="16"/>
                <w:lang w:val="en-GB"/>
              </w:rPr>
              <w:t>Total (recorded and unrecorded) alcohol per capita (aged 15+ years old) consumption within a calendar year in litres of pure alcohol, as appropriate, within the national context</w:t>
            </w:r>
          </w:p>
          <w:p w14:paraId="243FF25F"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414142"/>
                <w:sz w:val="16"/>
                <w:szCs w:val="16"/>
                <w:lang w:val="en-GB"/>
              </w:rPr>
            </w:pPr>
          </w:p>
          <w:p w14:paraId="4441E6BA"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b/>
                <w:bCs/>
                <w:i/>
                <w:iCs/>
                <w:color w:val="3D99C9"/>
                <w:sz w:val="16"/>
                <w:szCs w:val="16"/>
                <w:lang w:val="en-GB"/>
              </w:rPr>
              <w:t xml:space="preserve">4. </w:t>
            </w:r>
            <w:r w:rsidRPr="00E41832">
              <w:rPr>
                <w:rFonts w:asciiTheme="minorHAnsi" w:eastAsiaTheme="minorEastAsia" w:hAnsiTheme="minorHAnsi" w:cstheme="minorHAnsi"/>
                <w:b/>
                <w:bCs/>
                <w:i/>
                <w:iCs/>
                <w:color w:val="414142"/>
                <w:sz w:val="16"/>
                <w:szCs w:val="16"/>
                <w:lang w:val="en-GB"/>
              </w:rPr>
              <w:t>Age-standardized prevalence of heavy episodic drinking among</w:t>
            </w:r>
            <w:r w:rsidRPr="00E41832">
              <w:rPr>
                <w:rFonts w:asciiTheme="minorHAnsi" w:eastAsiaTheme="minorEastAsia" w:hAnsiTheme="minorHAnsi" w:cstheme="minorHAnsi"/>
                <w:color w:val="414142"/>
                <w:sz w:val="16"/>
                <w:szCs w:val="16"/>
                <w:lang w:val="en-GB"/>
              </w:rPr>
              <w:t xml:space="preserve"> adolescents and </w:t>
            </w:r>
            <w:r w:rsidRPr="00E41832">
              <w:rPr>
                <w:rFonts w:asciiTheme="minorHAnsi" w:eastAsiaTheme="minorEastAsia" w:hAnsiTheme="minorHAnsi" w:cstheme="minorHAnsi"/>
                <w:b/>
                <w:bCs/>
                <w:i/>
                <w:iCs/>
                <w:color w:val="414142"/>
                <w:sz w:val="16"/>
                <w:szCs w:val="16"/>
                <w:lang w:val="en-GB"/>
              </w:rPr>
              <w:t>adults</w:t>
            </w:r>
            <w:r w:rsidRPr="00E41832">
              <w:rPr>
                <w:rFonts w:asciiTheme="minorHAnsi" w:eastAsiaTheme="minorEastAsia" w:hAnsiTheme="minorHAnsi" w:cstheme="minorHAnsi"/>
                <w:color w:val="414142"/>
                <w:sz w:val="16"/>
                <w:szCs w:val="16"/>
                <w:lang w:val="en-GB"/>
              </w:rPr>
              <w:t>, as appropriate, within the national context</w:t>
            </w:r>
          </w:p>
          <w:p w14:paraId="2F3D3A99"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5AFDCEEE"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5. </w:t>
            </w:r>
            <w:r w:rsidRPr="00E41832">
              <w:rPr>
                <w:rFonts w:asciiTheme="minorHAnsi" w:eastAsiaTheme="minorEastAsia" w:hAnsiTheme="minorHAnsi" w:cstheme="minorHAnsi"/>
                <w:color w:val="414142"/>
                <w:sz w:val="16"/>
                <w:szCs w:val="16"/>
                <w:lang w:val="en-GB"/>
              </w:rPr>
              <w:t>Alcohol-related morbidity and mortality among adolescents and adults, as appropriate, within the national context</w:t>
            </w:r>
          </w:p>
        </w:tc>
      </w:tr>
      <w:tr w:rsidR="008A38E8" w:rsidRPr="00E41832" w14:paraId="1C4E85C6" w14:textId="77777777" w:rsidTr="00211F15">
        <w:tc>
          <w:tcPr>
            <w:tcW w:w="1515" w:type="dxa"/>
            <w:tcBorders>
              <w:right w:val="single" w:sz="4" w:space="0" w:color="auto"/>
            </w:tcBorders>
            <w:tcMar>
              <w:top w:w="57" w:type="dxa"/>
              <w:bottom w:w="57" w:type="dxa"/>
            </w:tcMar>
          </w:tcPr>
          <w:p w14:paraId="35BB15FB"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 xml:space="preserve">Physical inactivity </w:t>
            </w:r>
          </w:p>
        </w:tc>
        <w:tc>
          <w:tcPr>
            <w:tcW w:w="2551" w:type="dxa"/>
            <w:tcBorders>
              <w:left w:val="single" w:sz="4" w:space="0" w:color="auto"/>
              <w:right w:val="single" w:sz="4" w:space="0" w:color="auto"/>
            </w:tcBorders>
            <w:tcMar>
              <w:top w:w="57" w:type="dxa"/>
              <w:bottom w:w="57" w:type="dxa"/>
            </w:tcMar>
          </w:tcPr>
          <w:p w14:paraId="6546FE52"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3. </w:t>
            </w:r>
            <w:r w:rsidRPr="00E41832">
              <w:rPr>
                <w:rFonts w:asciiTheme="minorHAnsi" w:eastAsiaTheme="minorEastAsia" w:hAnsiTheme="minorHAnsi" w:cstheme="minorHAnsi"/>
                <w:color w:val="414142"/>
                <w:sz w:val="16"/>
                <w:szCs w:val="16"/>
                <w:lang w:val="en-GB"/>
              </w:rPr>
              <w:t>A 10% relative reduction in prevalence of insufficient physical activity</w:t>
            </w:r>
          </w:p>
        </w:tc>
        <w:tc>
          <w:tcPr>
            <w:tcW w:w="5165" w:type="dxa"/>
            <w:tcBorders>
              <w:left w:val="single" w:sz="4" w:space="0" w:color="auto"/>
            </w:tcBorders>
            <w:tcMar>
              <w:top w:w="57" w:type="dxa"/>
              <w:bottom w:w="57" w:type="dxa"/>
            </w:tcMar>
          </w:tcPr>
          <w:p w14:paraId="6F977C35"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6. </w:t>
            </w:r>
            <w:r w:rsidRPr="00E41832">
              <w:rPr>
                <w:rFonts w:asciiTheme="minorHAnsi" w:eastAsiaTheme="minorEastAsia" w:hAnsiTheme="minorHAnsi" w:cstheme="minorHAnsi"/>
                <w:color w:val="414142"/>
                <w:sz w:val="16"/>
                <w:szCs w:val="16"/>
                <w:lang w:val="en-GB"/>
              </w:rPr>
              <w:t>Prevalence of insufficiently physically active adolescents, defined as less than 60 minutes of moderate to vigorous intensity activity daily</w:t>
            </w:r>
          </w:p>
          <w:p w14:paraId="2184F717"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0507EE52"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414142"/>
                <w:sz w:val="16"/>
                <w:szCs w:val="16"/>
                <w:lang w:val="en-GB"/>
              </w:rPr>
            </w:pPr>
            <w:r w:rsidRPr="00E41832">
              <w:rPr>
                <w:rFonts w:asciiTheme="minorHAnsi" w:eastAsiaTheme="minorEastAsia" w:hAnsiTheme="minorHAnsi" w:cstheme="minorHAnsi"/>
                <w:b/>
                <w:bCs/>
                <w:i/>
                <w:iCs/>
                <w:color w:val="3D99C9"/>
                <w:sz w:val="16"/>
                <w:szCs w:val="16"/>
                <w:lang w:val="en-GB"/>
              </w:rPr>
              <w:t xml:space="preserve">7. </w:t>
            </w:r>
            <w:r w:rsidRPr="00E41832">
              <w:rPr>
                <w:rFonts w:asciiTheme="minorHAnsi" w:eastAsiaTheme="minorEastAsia" w:hAnsiTheme="minorHAnsi" w:cstheme="minorHAnsi"/>
                <w:b/>
                <w:bCs/>
                <w:i/>
                <w:iCs/>
                <w:color w:val="414142"/>
                <w:sz w:val="16"/>
                <w:szCs w:val="16"/>
                <w:lang w:val="en-GB"/>
              </w:rPr>
              <w:t>Age-standardized prevalence of insufficiently physically active persons aged 18+ years (defined as less than 150 minutes of moderate-intensity activity per week, or equivalent)</w:t>
            </w:r>
          </w:p>
        </w:tc>
      </w:tr>
      <w:tr w:rsidR="008A38E8" w:rsidRPr="00E41832" w14:paraId="1C70915C" w14:textId="77777777" w:rsidTr="009E6068">
        <w:trPr>
          <w:trHeight w:val="567"/>
        </w:trPr>
        <w:tc>
          <w:tcPr>
            <w:tcW w:w="1515" w:type="dxa"/>
            <w:tcBorders>
              <w:right w:val="single" w:sz="4" w:space="0" w:color="auto"/>
            </w:tcBorders>
            <w:tcMar>
              <w:top w:w="57" w:type="dxa"/>
              <w:bottom w:w="57" w:type="dxa"/>
            </w:tcMar>
          </w:tcPr>
          <w:p w14:paraId="0B6EC96F"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 xml:space="preserve">Salt/sodium intake </w:t>
            </w:r>
          </w:p>
        </w:tc>
        <w:tc>
          <w:tcPr>
            <w:tcW w:w="2551" w:type="dxa"/>
            <w:tcBorders>
              <w:left w:val="single" w:sz="4" w:space="0" w:color="auto"/>
              <w:right w:val="single" w:sz="4" w:space="0" w:color="auto"/>
            </w:tcBorders>
            <w:tcMar>
              <w:top w:w="57" w:type="dxa"/>
              <w:bottom w:w="57" w:type="dxa"/>
            </w:tcMar>
          </w:tcPr>
          <w:p w14:paraId="34326C42"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4. </w:t>
            </w:r>
            <w:r w:rsidRPr="00E41832">
              <w:rPr>
                <w:rFonts w:asciiTheme="minorHAnsi" w:eastAsiaTheme="minorEastAsia" w:hAnsiTheme="minorHAnsi" w:cstheme="minorHAnsi"/>
                <w:color w:val="414142"/>
                <w:sz w:val="16"/>
                <w:szCs w:val="16"/>
                <w:lang w:val="en-GB"/>
              </w:rPr>
              <w:t>A 30% relative reduction in mean population intake of salt/sodium</w:t>
            </w:r>
          </w:p>
        </w:tc>
        <w:tc>
          <w:tcPr>
            <w:tcW w:w="5165" w:type="dxa"/>
            <w:tcBorders>
              <w:left w:val="single" w:sz="4" w:space="0" w:color="auto"/>
            </w:tcBorders>
            <w:tcMar>
              <w:top w:w="57" w:type="dxa"/>
              <w:bottom w:w="57" w:type="dxa"/>
            </w:tcMar>
          </w:tcPr>
          <w:p w14:paraId="0D6FFE04"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auto"/>
                <w:sz w:val="16"/>
                <w:szCs w:val="16"/>
                <w:lang w:val="en-GB"/>
              </w:rPr>
            </w:pPr>
            <w:r w:rsidRPr="00E41832">
              <w:rPr>
                <w:rFonts w:asciiTheme="minorHAnsi" w:eastAsiaTheme="minorEastAsia" w:hAnsiTheme="minorHAnsi" w:cstheme="minorHAnsi"/>
                <w:b/>
                <w:bCs/>
                <w:i/>
                <w:iCs/>
                <w:color w:val="3D99C9"/>
                <w:sz w:val="16"/>
                <w:szCs w:val="16"/>
                <w:lang w:val="en-GB"/>
              </w:rPr>
              <w:t xml:space="preserve">8. </w:t>
            </w:r>
            <w:r w:rsidRPr="00E41832">
              <w:rPr>
                <w:rFonts w:asciiTheme="minorHAnsi" w:eastAsiaTheme="minorEastAsia" w:hAnsiTheme="minorHAnsi" w:cstheme="minorHAnsi"/>
                <w:b/>
                <w:bCs/>
                <w:i/>
                <w:iCs/>
                <w:color w:val="414142"/>
                <w:sz w:val="16"/>
                <w:szCs w:val="16"/>
                <w:lang w:val="en-GB"/>
              </w:rPr>
              <w:t>Age-standardized mean population intake of salt (sodium chloride) per day in grams in persons aged 18+ years</w:t>
            </w:r>
          </w:p>
        </w:tc>
      </w:tr>
      <w:tr w:rsidR="008A38E8" w:rsidRPr="00E41832" w14:paraId="50DCCA75" w14:textId="77777777" w:rsidTr="00211F15">
        <w:trPr>
          <w:trHeight w:val="715"/>
        </w:trPr>
        <w:tc>
          <w:tcPr>
            <w:tcW w:w="1515" w:type="dxa"/>
            <w:tcBorders>
              <w:right w:val="single" w:sz="4" w:space="0" w:color="auto"/>
            </w:tcBorders>
            <w:tcMar>
              <w:top w:w="57" w:type="dxa"/>
              <w:bottom w:w="57" w:type="dxa"/>
            </w:tcMar>
          </w:tcPr>
          <w:p w14:paraId="258528DA" w14:textId="77777777" w:rsidR="008A38E8" w:rsidRPr="00E41832" w:rsidRDefault="008A38E8" w:rsidP="009E6068">
            <w:pPr>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Tobacco use</w:t>
            </w:r>
          </w:p>
        </w:tc>
        <w:tc>
          <w:tcPr>
            <w:tcW w:w="2551" w:type="dxa"/>
            <w:tcBorders>
              <w:left w:val="single" w:sz="4" w:space="0" w:color="auto"/>
              <w:right w:val="single" w:sz="4" w:space="0" w:color="auto"/>
            </w:tcBorders>
            <w:tcMar>
              <w:top w:w="57" w:type="dxa"/>
              <w:bottom w:w="57" w:type="dxa"/>
            </w:tcMar>
          </w:tcPr>
          <w:p w14:paraId="007CF00B"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5. </w:t>
            </w:r>
            <w:r w:rsidRPr="00E41832">
              <w:rPr>
                <w:rFonts w:asciiTheme="minorHAnsi" w:eastAsiaTheme="minorEastAsia" w:hAnsiTheme="minorHAnsi" w:cstheme="minorHAnsi"/>
                <w:color w:val="414142"/>
                <w:sz w:val="16"/>
                <w:szCs w:val="16"/>
                <w:lang w:val="en-GB"/>
              </w:rPr>
              <w:t>A 30% relative reduction in prevalence of current tobacco use</w:t>
            </w:r>
          </w:p>
        </w:tc>
        <w:tc>
          <w:tcPr>
            <w:tcW w:w="5165" w:type="dxa"/>
            <w:tcBorders>
              <w:left w:val="single" w:sz="4" w:space="0" w:color="auto"/>
            </w:tcBorders>
            <w:tcMar>
              <w:top w:w="57" w:type="dxa"/>
              <w:bottom w:w="57" w:type="dxa"/>
            </w:tcMar>
          </w:tcPr>
          <w:p w14:paraId="541175FD"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9. </w:t>
            </w:r>
            <w:r w:rsidRPr="00E41832">
              <w:rPr>
                <w:rFonts w:asciiTheme="minorHAnsi" w:eastAsiaTheme="minorEastAsia" w:hAnsiTheme="minorHAnsi" w:cstheme="minorHAnsi"/>
                <w:color w:val="414142"/>
                <w:sz w:val="16"/>
                <w:szCs w:val="16"/>
                <w:lang w:val="en-GB"/>
              </w:rPr>
              <w:t>Prevalence of current tobacco use among adolescents</w:t>
            </w:r>
          </w:p>
          <w:p w14:paraId="3CE85A41"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38DB51C5"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auto"/>
                <w:sz w:val="16"/>
                <w:szCs w:val="16"/>
                <w:lang w:val="en-GB"/>
              </w:rPr>
            </w:pPr>
            <w:r w:rsidRPr="00E41832">
              <w:rPr>
                <w:rFonts w:asciiTheme="minorHAnsi" w:eastAsiaTheme="minorEastAsia" w:hAnsiTheme="minorHAnsi" w:cstheme="minorHAnsi"/>
                <w:b/>
                <w:bCs/>
                <w:i/>
                <w:iCs/>
                <w:color w:val="3D99C9"/>
                <w:sz w:val="16"/>
                <w:szCs w:val="16"/>
                <w:lang w:val="en-GB"/>
              </w:rPr>
              <w:t xml:space="preserve">10. </w:t>
            </w:r>
            <w:r w:rsidRPr="00E41832">
              <w:rPr>
                <w:rFonts w:asciiTheme="minorHAnsi" w:eastAsiaTheme="minorEastAsia" w:hAnsiTheme="minorHAnsi" w:cstheme="minorHAnsi"/>
                <w:b/>
                <w:bCs/>
                <w:i/>
                <w:iCs/>
                <w:color w:val="414142"/>
                <w:sz w:val="16"/>
                <w:szCs w:val="16"/>
                <w:lang w:val="en-GB"/>
              </w:rPr>
              <w:t>Age-standardized prevalence of current tobacco use among persons aged 18+ years</w:t>
            </w:r>
          </w:p>
        </w:tc>
      </w:tr>
      <w:tr w:rsidR="008A38E8" w:rsidRPr="00E41832" w14:paraId="2C8B1160"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414FC6D1" w14:textId="77777777" w:rsidR="008A38E8" w:rsidRPr="00E41832" w:rsidRDefault="008A38E8" w:rsidP="009E6068">
            <w:pPr>
              <w:rPr>
                <w:rFonts w:asciiTheme="minorHAnsi" w:eastAsiaTheme="minorEastAsia" w:hAnsiTheme="minorHAnsi" w:cstheme="minorHAnsi"/>
                <w:color w:val="auto"/>
                <w:sz w:val="20"/>
                <w:szCs w:val="20"/>
                <w:lang w:val="en-GB"/>
              </w:rPr>
            </w:pPr>
            <w:r w:rsidRPr="00E41832">
              <w:rPr>
                <w:rFonts w:asciiTheme="minorHAnsi" w:eastAsiaTheme="minorEastAsia" w:hAnsiTheme="minorHAnsi" w:cstheme="minorHAnsi"/>
                <w:color w:val="0A91C4"/>
                <w:sz w:val="20"/>
                <w:szCs w:val="20"/>
                <w:lang w:val="en-GB"/>
              </w:rPr>
              <w:t>BIOLOGICAL RISK FACTORS</w:t>
            </w:r>
          </w:p>
        </w:tc>
      </w:tr>
      <w:tr w:rsidR="008A38E8" w:rsidRPr="00E41832" w14:paraId="0966DA43" w14:textId="77777777" w:rsidTr="00211F15">
        <w:tc>
          <w:tcPr>
            <w:tcW w:w="1515" w:type="dxa"/>
            <w:tcBorders>
              <w:right w:val="single" w:sz="4" w:space="0" w:color="auto"/>
            </w:tcBorders>
            <w:tcMar>
              <w:top w:w="57" w:type="dxa"/>
              <w:bottom w:w="57" w:type="dxa"/>
            </w:tcMar>
          </w:tcPr>
          <w:p w14:paraId="6E26545B"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Raised blood pressure</w:t>
            </w:r>
          </w:p>
        </w:tc>
        <w:tc>
          <w:tcPr>
            <w:tcW w:w="2551" w:type="dxa"/>
            <w:tcBorders>
              <w:left w:val="single" w:sz="4" w:space="0" w:color="auto"/>
              <w:right w:val="single" w:sz="4" w:space="0" w:color="auto"/>
            </w:tcBorders>
            <w:tcMar>
              <w:top w:w="57" w:type="dxa"/>
              <w:bottom w:w="57" w:type="dxa"/>
            </w:tcMar>
          </w:tcPr>
          <w:p w14:paraId="4F7F2802"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6. </w:t>
            </w:r>
            <w:r w:rsidRPr="00E41832">
              <w:rPr>
                <w:rFonts w:asciiTheme="minorHAnsi" w:eastAsiaTheme="minorEastAsia" w:hAnsiTheme="minorHAnsi" w:cstheme="minorHAnsi"/>
                <w:color w:val="414142"/>
                <w:sz w:val="16"/>
                <w:szCs w:val="16"/>
                <w:lang w:val="en-GB"/>
              </w:rPr>
              <w:t>A 25% relative reduction in the prevalence of raised blood pressure or contain the prevalence of raised blood pressure, according to national circumstances</w:t>
            </w:r>
          </w:p>
        </w:tc>
        <w:tc>
          <w:tcPr>
            <w:tcW w:w="5165" w:type="dxa"/>
            <w:tcBorders>
              <w:left w:val="single" w:sz="4" w:space="0" w:color="auto"/>
            </w:tcBorders>
            <w:tcMar>
              <w:top w:w="57" w:type="dxa"/>
              <w:bottom w:w="57" w:type="dxa"/>
            </w:tcMar>
          </w:tcPr>
          <w:p w14:paraId="5C2EC5CB"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auto"/>
                <w:sz w:val="16"/>
                <w:szCs w:val="16"/>
                <w:lang w:val="en-GB"/>
              </w:rPr>
            </w:pPr>
            <w:r w:rsidRPr="00E41832">
              <w:rPr>
                <w:rFonts w:asciiTheme="minorHAnsi" w:eastAsiaTheme="minorEastAsia" w:hAnsiTheme="minorHAnsi" w:cstheme="minorHAnsi"/>
                <w:b/>
                <w:bCs/>
                <w:i/>
                <w:iCs/>
                <w:color w:val="3D99C9"/>
                <w:sz w:val="16"/>
                <w:szCs w:val="16"/>
                <w:lang w:val="en-GB"/>
              </w:rPr>
              <w:t xml:space="preserve">11. </w:t>
            </w:r>
            <w:r w:rsidRPr="00E41832">
              <w:rPr>
                <w:rFonts w:asciiTheme="minorHAnsi" w:eastAsiaTheme="minorEastAsia" w:hAnsiTheme="minorHAnsi" w:cstheme="minorHAnsi"/>
                <w:b/>
                <w:bCs/>
                <w:i/>
                <w:iCs/>
                <w:color w:val="414142"/>
                <w:sz w:val="16"/>
                <w:szCs w:val="16"/>
                <w:lang w:val="en-GB"/>
              </w:rPr>
              <w:t>Age-standardized prevalence of raised blood pressure among persons aged 18+ years (defined as systolic blood pressure ≥140 mmHg and/or diastolic blood pressure ≥90 mmHg) and mean systolic blood pressure</w:t>
            </w:r>
          </w:p>
        </w:tc>
      </w:tr>
      <w:tr w:rsidR="008A38E8" w:rsidRPr="00E41832" w14:paraId="0AB444DB" w14:textId="77777777" w:rsidTr="00211F15">
        <w:tc>
          <w:tcPr>
            <w:tcW w:w="1515" w:type="dxa"/>
            <w:tcBorders>
              <w:right w:val="single" w:sz="4" w:space="0" w:color="auto"/>
            </w:tcBorders>
            <w:tcMar>
              <w:top w:w="57" w:type="dxa"/>
              <w:bottom w:w="57" w:type="dxa"/>
            </w:tcMar>
          </w:tcPr>
          <w:p w14:paraId="49CFE3D4"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414142"/>
                <w:sz w:val="16"/>
                <w:szCs w:val="16"/>
                <w:lang w:val="en-GB"/>
              </w:rPr>
              <w:t>Diabetes and obesity</w:t>
            </w:r>
          </w:p>
        </w:tc>
        <w:tc>
          <w:tcPr>
            <w:tcW w:w="2551" w:type="dxa"/>
            <w:tcBorders>
              <w:left w:val="single" w:sz="4" w:space="0" w:color="auto"/>
              <w:right w:val="single" w:sz="4" w:space="0" w:color="auto"/>
            </w:tcBorders>
            <w:tcMar>
              <w:top w:w="57" w:type="dxa"/>
              <w:bottom w:w="57" w:type="dxa"/>
            </w:tcMar>
          </w:tcPr>
          <w:p w14:paraId="47640B4A" w14:textId="77777777" w:rsidR="008A38E8" w:rsidRPr="00E41832" w:rsidRDefault="008A38E8" w:rsidP="009E6068">
            <w:pPr>
              <w:autoSpaceDE w:val="0"/>
              <w:autoSpaceDN w:val="0"/>
              <w:adjustRightInd w:val="0"/>
              <w:rPr>
                <w:rFonts w:asciiTheme="minorHAnsi" w:eastAsiaTheme="minorEastAsia" w:hAnsiTheme="minorHAnsi" w:cstheme="minorHAnsi"/>
                <w:color w:val="auto"/>
                <w:sz w:val="16"/>
                <w:szCs w:val="16"/>
                <w:lang w:val="en-GB"/>
              </w:rPr>
            </w:pPr>
            <w:r w:rsidRPr="00E41832">
              <w:rPr>
                <w:rFonts w:asciiTheme="minorHAnsi" w:eastAsiaTheme="minorEastAsia" w:hAnsiTheme="minorHAnsi" w:cstheme="minorHAnsi"/>
                <w:color w:val="3D99C9"/>
                <w:sz w:val="16"/>
                <w:szCs w:val="16"/>
                <w:lang w:val="en-GB"/>
              </w:rPr>
              <w:t xml:space="preserve">7. </w:t>
            </w:r>
            <w:r w:rsidRPr="00E41832">
              <w:rPr>
                <w:rFonts w:asciiTheme="minorHAnsi" w:eastAsiaTheme="minorEastAsia" w:hAnsiTheme="minorHAnsi" w:cstheme="minorHAnsi"/>
                <w:color w:val="414142"/>
                <w:sz w:val="16"/>
                <w:szCs w:val="16"/>
                <w:lang w:val="en-GB"/>
              </w:rPr>
              <w:t>Halt the rise in diabetes &amp; obesity</w:t>
            </w:r>
          </w:p>
        </w:tc>
        <w:tc>
          <w:tcPr>
            <w:tcW w:w="5165" w:type="dxa"/>
            <w:tcBorders>
              <w:left w:val="single" w:sz="4" w:space="0" w:color="auto"/>
              <w:bottom w:val="single" w:sz="4" w:space="0" w:color="auto"/>
            </w:tcBorders>
            <w:tcMar>
              <w:top w:w="57" w:type="dxa"/>
              <w:bottom w:w="57" w:type="dxa"/>
            </w:tcMar>
          </w:tcPr>
          <w:p w14:paraId="6411F677"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414142"/>
                <w:sz w:val="16"/>
                <w:szCs w:val="16"/>
                <w:lang w:val="en-GB"/>
              </w:rPr>
            </w:pPr>
            <w:r w:rsidRPr="00E41832">
              <w:rPr>
                <w:rFonts w:asciiTheme="minorHAnsi" w:eastAsiaTheme="minorEastAsia" w:hAnsiTheme="minorHAnsi" w:cstheme="minorHAnsi"/>
                <w:b/>
                <w:bCs/>
                <w:i/>
                <w:iCs/>
                <w:color w:val="3D99C9"/>
                <w:sz w:val="16"/>
                <w:szCs w:val="16"/>
                <w:lang w:val="en-GB"/>
              </w:rPr>
              <w:t xml:space="preserve">12. </w:t>
            </w:r>
            <w:r w:rsidRPr="00E41832">
              <w:rPr>
                <w:rFonts w:asciiTheme="minorHAnsi" w:eastAsiaTheme="minorEastAsia" w:hAnsiTheme="minorHAnsi" w:cstheme="minorHAnsi"/>
                <w:b/>
                <w:bCs/>
                <w:i/>
                <w:iCs/>
                <w:color w:val="414142"/>
                <w:sz w:val="16"/>
                <w:szCs w:val="16"/>
                <w:lang w:val="en-GB"/>
              </w:rPr>
              <w:t>Age-standardized prevalence of raised blood glucose/diabetes among persons aged 18+ years (defined as fasting plasma glucose concentration ≥ 7.0 mmol/l (126 mg/dl) or on medication for raised blood glucose)</w:t>
            </w:r>
          </w:p>
          <w:p w14:paraId="2029123E"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62AD9449"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13. </w:t>
            </w:r>
            <w:r w:rsidRPr="00E41832">
              <w:rPr>
                <w:rFonts w:asciiTheme="minorHAnsi" w:eastAsiaTheme="minorEastAsia" w:hAnsiTheme="minorHAnsi" w:cstheme="minorHAnsi"/>
                <w:color w:val="414142"/>
                <w:sz w:val="16"/>
                <w:szCs w:val="16"/>
                <w:lang w:val="en-GB"/>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381EA477"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0A982AF2"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auto"/>
                <w:sz w:val="16"/>
                <w:szCs w:val="16"/>
                <w:lang w:val="en-GB"/>
              </w:rPr>
            </w:pPr>
            <w:r w:rsidRPr="00E41832">
              <w:rPr>
                <w:rFonts w:asciiTheme="minorHAnsi" w:eastAsiaTheme="minorEastAsia" w:hAnsiTheme="minorHAnsi" w:cstheme="minorHAnsi"/>
                <w:b/>
                <w:bCs/>
                <w:i/>
                <w:iCs/>
                <w:color w:val="3D99C9"/>
                <w:sz w:val="16"/>
                <w:szCs w:val="16"/>
                <w:lang w:val="en-GB"/>
              </w:rPr>
              <w:t xml:space="preserve">14. </w:t>
            </w:r>
            <w:r w:rsidRPr="00E41832">
              <w:rPr>
                <w:rFonts w:asciiTheme="minorHAnsi" w:eastAsiaTheme="minorEastAsia" w:hAnsiTheme="minorHAnsi" w:cstheme="minorHAnsi"/>
                <w:b/>
                <w:bCs/>
                <w:i/>
                <w:iCs/>
                <w:color w:val="414142"/>
                <w:sz w:val="16"/>
                <w:szCs w:val="16"/>
                <w:lang w:val="en-GB"/>
              </w:rPr>
              <w:t>Age-standardized prevalence of overweight and obesity in persons aged 18+ years (defined as body mass index ≥ 25 kg/m² for overweight and body mass index ≥ 30 kg/m² for obesity)</w:t>
            </w:r>
          </w:p>
        </w:tc>
      </w:tr>
      <w:tr w:rsidR="008A38E8" w:rsidRPr="00E41832" w14:paraId="6E19680B" w14:textId="77777777" w:rsidTr="00211F15">
        <w:tc>
          <w:tcPr>
            <w:tcW w:w="4066" w:type="dxa"/>
            <w:gridSpan w:val="2"/>
            <w:tcBorders>
              <w:right w:val="single" w:sz="4" w:space="0" w:color="auto"/>
            </w:tcBorders>
            <w:tcMar>
              <w:top w:w="57" w:type="dxa"/>
              <w:bottom w:w="57" w:type="dxa"/>
            </w:tcMar>
          </w:tcPr>
          <w:p w14:paraId="40C24F37" w14:textId="77777777" w:rsidR="008A38E8" w:rsidRPr="00E41832" w:rsidRDefault="008A38E8" w:rsidP="009E6068">
            <w:pPr>
              <w:autoSpaceDE w:val="0"/>
              <w:autoSpaceDN w:val="0"/>
              <w:adjustRightInd w:val="0"/>
              <w:rPr>
                <w:rFonts w:asciiTheme="minorHAnsi" w:eastAsiaTheme="minorEastAsia" w:hAnsiTheme="minorHAnsi" w:cstheme="minorHAnsi"/>
                <w:color w:val="3D99C9"/>
                <w:sz w:val="16"/>
                <w:szCs w:val="16"/>
                <w:lang w:val="en-GB"/>
              </w:rPr>
            </w:pPr>
            <w:r w:rsidRPr="00E41832">
              <w:rPr>
                <w:rFonts w:asciiTheme="minorHAnsi" w:eastAsiaTheme="minorEastAsia" w:hAnsiTheme="minorHAnsi" w:cstheme="minorHAnsi"/>
                <w:color w:val="414142"/>
                <w:sz w:val="16"/>
                <w:szCs w:val="16"/>
                <w:lang w:val="en-GB"/>
              </w:rPr>
              <w:t xml:space="preserve">Additional indicators </w:t>
            </w:r>
          </w:p>
        </w:tc>
        <w:tc>
          <w:tcPr>
            <w:tcW w:w="5165" w:type="dxa"/>
            <w:tcBorders>
              <w:left w:val="single" w:sz="4" w:space="0" w:color="auto"/>
            </w:tcBorders>
            <w:tcMar>
              <w:top w:w="57" w:type="dxa"/>
              <w:bottom w:w="57" w:type="dxa"/>
            </w:tcMar>
          </w:tcPr>
          <w:p w14:paraId="7965B9A8"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15. </w:t>
            </w:r>
            <w:r w:rsidRPr="00E41832">
              <w:rPr>
                <w:rFonts w:asciiTheme="minorHAnsi" w:eastAsiaTheme="minorEastAsia" w:hAnsiTheme="minorHAnsi" w:cstheme="minorHAnsi"/>
                <w:color w:val="414142"/>
                <w:sz w:val="16"/>
                <w:szCs w:val="16"/>
                <w:lang w:val="en-GB"/>
              </w:rPr>
              <w:t>Age-standardized mean proportion of total energy intake from saturated fatty acids in persons aged 18+ years</w:t>
            </w:r>
          </w:p>
          <w:p w14:paraId="4E906993" w14:textId="77777777" w:rsidR="008A38E8" w:rsidRPr="00E41832" w:rsidRDefault="008A38E8" w:rsidP="009E6068">
            <w:pPr>
              <w:autoSpaceDE w:val="0"/>
              <w:autoSpaceDN w:val="0"/>
              <w:adjustRightInd w:val="0"/>
              <w:rPr>
                <w:rFonts w:asciiTheme="minorHAnsi" w:eastAsiaTheme="minorEastAsia" w:hAnsiTheme="minorHAnsi" w:cstheme="minorHAnsi"/>
                <w:color w:val="3D99C9"/>
                <w:sz w:val="16"/>
                <w:szCs w:val="16"/>
                <w:lang w:val="en-GB"/>
              </w:rPr>
            </w:pPr>
          </w:p>
          <w:p w14:paraId="152F1CDF"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414142"/>
                <w:sz w:val="16"/>
                <w:szCs w:val="16"/>
                <w:lang w:val="en-GB"/>
              </w:rPr>
            </w:pPr>
            <w:r w:rsidRPr="00E41832">
              <w:rPr>
                <w:rFonts w:asciiTheme="minorHAnsi" w:eastAsiaTheme="minorEastAsia" w:hAnsiTheme="minorHAnsi" w:cstheme="minorHAnsi"/>
                <w:b/>
                <w:bCs/>
                <w:i/>
                <w:iCs/>
                <w:color w:val="3D99C9"/>
                <w:sz w:val="16"/>
                <w:szCs w:val="16"/>
                <w:lang w:val="en-GB"/>
              </w:rPr>
              <w:t xml:space="preserve">16. </w:t>
            </w:r>
            <w:r w:rsidRPr="00E41832">
              <w:rPr>
                <w:rFonts w:asciiTheme="minorHAnsi" w:eastAsiaTheme="minorEastAsia" w:hAnsiTheme="minorHAnsi" w:cstheme="minorHAnsi"/>
                <w:b/>
                <w:bCs/>
                <w:i/>
                <w:iCs/>
                <w:color w:val="414142"/>
                <w:sz w:val="16"/>
                <w:szCs w:val="16"/>
                <w:lang w:val="en-GB"/>
              </w:rPr>
              <w:t>Age-standardized prevalence of persons (aged 18+ years) consuming less than five total servings (400 grams) of fruit and vegetables per day</w:t>
            </w:r>
          </w:p>
          <w:p w14:paraId="4B736323" w14:textId="77777777" w:rsidR="008A38E8" w:rsidRPr="00E41832" w:rsidRDefault="008A38E8" w:rsidP="009E6068">
            <w:pPr>
              <w:autoSpaceDE w:val="0"/>
              <w:autoSpaceDN w:val="0"/>
              <w:adjustRightInd w:val="0"/>
              <w:rPr>
                <w:rFonts w:asciiTheme="minorHAnsi" w:eastAsiaTheme="minorEastAsia" w:hAnsiTheme="minorHAnsi" w:cstheme="minorHAnsi"/>
                <w:color w:val="414142"/>
                <w:sz w:val="16"/>
                <w:szCs w:val="16"/>
                <w:lang w:val="en-GB"/>
              </w:rPr>
            </w:pPr>
          </w:p>
          <w:p w14:paraId="24AF2489" w14:textId="77777777" w:rsidR="008A38E8" w:rsidRPr="00E41832" w:rsidRDefault="008A38E8" w:rsidP="009E6068">
            <w:pPr>
              <w:autoSpaceDE w:val="0"/>
              <w:autoSpaceDN w:val="0"/>
              <w:adjustRightInd w:val="0"/>
              <w:rPr>
                <w:rFonts w:asciiTheme="minorHAnsi" w:eastAsiaTheme="minorEastAsia" w:hAnsiTheme="minorHAnsi" w:cstheme="minorHAnsi"/>
                <w:b/>
                <w:bCs/>
                <w:i/>
                <w:iCs/>
                <w:color w:val="3D99C9"/>
                <w:sz w:val="16"/>
                <w:szCs w:val="16"/>
                <w:lang w:val="en-GB"/>
              </w:rPr>
            </w:pPr>
            <w:r w:rsidRPr="00E41832">
              <w:rPr>
                <w:rFonts w:asciiTheme="minorHAnsi" w:eastAsiaTheme="minorEastAsia" w:hAnsiTheme="minorHAnsi" w:cstheme="minorHAnsi"/>
                <w:b/>
                <w:bCs/>
                <w:i/>
                <w:iCs/>
                <w:color w:val="3D99C9"/>
                <w:sz w:val="16"/>
                <w:szCs w:val="16"/>
                <w:lang w:val="en-GB"/>
              </w:rPr>
              <w:t xml:space="preserve">17. </w:t>
            </w:r>
            <w:r w:rsidRPr="00E41832">
              <w:rPr>
                <w:rFonts w:asciiTheme="minorHAnsi" w:eastAsiaTheme="minorEastAsia" w:hAnsiTheme="minorHAnsi" w:cstheme="minorHAnsi"/>
                <w:b/>
                <w:bCs/>
                <w:i/>
                <w:iCs/>
                <w:color w:val="414142"/>
                <w:sz w:val="16"/>
                <w:szCs w:val="16"/>
                <w:lang w:val="en-GB"/>
              </w:rPr>
              <w:t>Age-standardized prevalence of raised total cholesterol among persons aged 18+ years (defined as total cholesterol ≥5.0 mmol/l or 190 mg/dl); and mean total cholesterol concentration</w:t>
            </w:r>
          </w:p>
        </w:tc>
      </w:tr>
    </w:tbl>
    <w:p w14:paraId="5FB96AC0" w14:textId="0C1AACAD" w:rsidR="008A38E8" w:rsidRPr="00E41832" w:rsidRDefault="008A38E8"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07"/>
        <w:gridCol w:w="2445"/>
        <w:gridCol w:w="4814"/>
      </w:tblGrid>
      <w:tr w:rsidR="008A38E8" w:rsidRPr="00E41832" w14:paraId="5C536890" w14:textId="77777777" w:rsidTr="00211F15">
        <w:tc>
          <w:tcPr>
            <w:tcW w:w="1515" w:type="dxa"/>
            <w:tcBorders>
              <w:right w:val="single" w:sz="4" w:space="0" w:color="auto"/>
            </w:tcBorders>
            <w:shd w:val="clear" w:color="auto" w:fill="34A4F0"/>
            <w:tcMar>
              <w:top w:w="57" w:type="dxa"/>
              <w:bottom w:w="57" w:type="dxa"/>
            </w:tcMar>
            <w:vAlign w:val="center"/>
          </w:tcPr>
          <w:p w14:paraId="67413239" w14:textId="77777777" w:rsidR="008A38E8" w:rsidRPr="00E41832" w:rsidRDefault="008A38E8" w:rsidP="00211F15">
            <w:pPr>
              <w:autoSpaceDE w:val="0"/>
              <w:autoSpaceDN w:val="0"/>
              <w:adjustRightInd w:val="0"/>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4B3092D1" w14:textId="77777777" w:rsidR="008A38E8" w:rsidRPr="00E41832" w:rsidRDefault="008A38E8" w:rsidP="00211F15">
            <w:pPr>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t>Target</w:t>
            </w:r>
          </w:p>
        </w:tc>
        <w:tc>
          <w:tcPr>
            <w:tcW w:w="5165" w:type="dxa"/>
            <w:tcBorders>
              <w:left w:val="single" w:sz="4" w:space="0" w:color="auto"/>
            </w:tcBorders>
            <w:shd w:val="clear" w:color="auto" w:fill="34A4F0"/>
            <w:tcMar>
              <w:top w:w="57" w:type="dxa"/>
              <w:bottom w:w="57" w:type="dxa"/>
            </w:tcMar>
            <w:vAlign w:val="center"/>
          </w:tcPr>
          <w:p w14:paraId="217D3B29" w14:textId="77777777" w:rsidR="008A38E8" w:rsidRPr="00E41832" w:rsidRDefault="008A38E8" w:rsidP="00211F15">
            <w:pPr>
              <w:jc w:val="center"/>
              <w:rPr>
                <w:rFonts w:asciiTheme="minorHAnsi" w:eastAsiaTheme="minorEastAsia" w:hAnsiTheme="minorHAnsi" w:cstheme="minorHAnsi"/>
                <w:b/>
                <w:color w:val="FFFFFF" w:themeColor="background1"/>
                <w:sz w:val="20"/>
                <w:szCs w:val="20"/>
                <w:lang w:val="en-GB"/>
              </w:rPr>
            </w:pPr>
            <w:r w:rsidRPr="00E41832">
              <w:rPr>
                <w:rFonts w:asciiTheme="minorHAnsi" w:eastAsiaTheme="minorEastAsia" w:hAnsiTheme="minorHAnsi" w:cstheme="minorHAnsi"/>
                <w:b/>
                <w:color w:val="FFFFFF"/>
                <w:sz w:val="20"/>
                <w:szCs w:val="20"/>
                <w:lang w:val="en-GB"/>
              </w:rPr>
              <w:t>Indicator</w:t>
            </w:r>
          </w:p>
        </w:tc>
      </w:tr>
      <w:tr w:rsidR="008A38E8" w:rsidRPr="00E41832" w14:paraId="3DA2F707" w14:textId="77777777" w:rsidTr="00211F15">
        <w:trPr>
          <w:trHeight w:hRule="exact" w:val="284"/>
        </w:trPr>
        <w:tc>
          <w:tcPr>
            <w:tcW w:w="9231" w:type="dxa"/>
            <w:gridSpan w:val="3"/>
            <w:shd w:val="clear" w:color="auto" w:fill="D5DCE4" w:themeFill="text2" w:themeFillTint="33"/>
            <w:tcMar>
              <w:top w:w="57" w:type="dxa"/>
              <w:bottom w:w="57" w:type="dxa"/>
            </w:tcMar>
            <w:vAlign w:val="center"/>
          </w:tcPr>
          <w:p w14:paraId="06DF3FE5" w14:textId="77777777" w:rsidR="008A38E8" w:rsidRPr="00E41832" w:rsidRDefault="008A38E8" w:rsidP="00211F15">
            <w:pPr>
              <w:rPr>
                <w:rFonts w:asciiTheme="minorHAnsi" w:eastAsiaTheme="minorEastAsia" w:hAnsiTheme="minorHAnsi" w:cstheme="minorHAnsi"/>
                <w:color w:val="auto"/>
                <w:sz w:val="20"/>
                <w:szCs w:val="20"/>
                <w:lang w:val="en-GB"/>
              </w:rPr>
            </w:pPr>
            <w:r w:rsidRPr="00E41832">
              <w:rPr>
                <w:rFonts w:asciiTheme="minorHAnsi" w:eastAsiaTheme="minorEastAsia" w:hAnsiTheme="minorHAnsi" w:cstheme="minorHAnsi"/>
                <w:color w:val="0A91C4"/>
                <w:sz w:val="20"/>
                <w:szCs w:val="20"/>
                <w:lang w:val="en-GB"/>
              </w:rPr>
              <w:t>NATIONAL SYSTEMS RESPONSE</w:t>
            </w:r>
          </w:p>
        </w:tc>
      </w:tr>
      <w:tr w:rsidR="008A38E8" w:rsidRPr="00E41832" w14:paraId="1F35B506" w14:textId="77777777" w:rsidTr="00211F15">
        <w:tc>
          <w:tcPr>
            <w:tcW w:w="1515" w:type="dxa"/>
            <w:tcBorders>
              <w:right w:val="single" w:sz="4" w:space="0" w:color="auto"/>
            </w:tcBorders>
            <w:tcMar>
              <w:top w:w="57" w:type="dxa"/>
              <w:bottom w:w="57" w:type="dxa"/>
            </w:tcMar>
          </w:tcPr>
          <w:p w14:paraId="2FEBA248"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414142"/>
                <w:sz w:val="16"/>
                <w:szCs w:val="16"/>
                <w:lang w:val="en-GB"/>
              </w:rPr>
              <w:t>Drug therapy to prevent heart attacks and strokes</w:t>
            </w:r>
          </w:p>
        </w:tc>
        <w:tc>
          <w:tcPr>
            <w:tcW w:w="2551" w:type="dxa"/>
            <w:tcBorders>
              <w:left w:val="single" w:sz="4" w:space="0" w:color="auto"/>
              <w:right w:val="single" w:sz="4" w:space="0" w:color="auto"/>
            </w:tcBorders>
            <w:tcMar>
              <w:top w:w="57" w:type="dxa"/>
              <w:bottom w:w="57" w:type="dxa"/>
            </w:tcMar>
          </w:tcPr>
          <w:p w14:paraId="7DBD7CB8" w14:textId="77777777" w:rsidR="008A38E8" w:rsidRPr="00E41832" w:rsidRDefault="008A38E8" w:rsidP="00211F15">
            <w:pPr>
              <w:autoSpaceDE w:val="0"/>
              <w:autoSpaceDN w:val="0"/>
              <w:adjustRightInd w:val="0"/>
              <w:rPr>
                <w:rFonts w:asciiTheme="minorHAnsi" w:eastAsiaTheme="minorEastAsia" w:hAnsiTheme="minorHAnsi" w:cstheme="minorHAnsi"/>
                <w:color w:val="3D99C9"/>
                <w:sz w:val="16"/>
                <w:szCs w:val="16"/>
                <w:lang w:val="en-GB"/>
              </w:rPr>
            </w:pPr>
            <w:r w:rsidRPr="00E41832">
              <w:rPr>
                <w:rFonts w:asciiTheme="minorHAnsi" w:eastAsiaTheme="minorEastAsia" w:hAnsiTheme="minorHAnsi" w:cstheme="minorHAnsi"/>
                <w:color w:val="3D99C9"/>
                <w:sz w:val="16"/>
                <w:szCs w:val="16"/>
                <w:lang w:val="en-GB"/>
              </w:rPr>
              <w:t xml:space="preserve">8. </w:t>
            </w:r>
            <w:r w:rsidRPr="00E41832">
              <w:rPr>
                <w:rFonts w:asciiTheme="minorHAnsi" w:eastAsiaTheme="minorEastAsia" w:hAnsiTheme="minorHAnsi" w:cstheme="minorHAnsi"/>
                <w:color w:val="414142"/>
                <w:sz w:val="16"/>
                <w:szCs w:val="16"/>
                <w:lang w:val="en-GB"/>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69669381" w14:textId="77777777" w:rsidR="008A38E8" w:rsidRPr="00E41832" w:rsidRDefault="008A38E8" w:rsidP="00211F15">
            <w:pPr>
              <w:autoSpaceDE w:val="0"/>
              <w:autoSpaceDN w:val="0"/>
              <w:adjustRightInd w:val="0"/>
              <w:rPr>
                <w:rFonts w:asciiTheme="minorHAnsi" w:eastAsiaTheme="minorEastAsia" w:hAnsiTheme="minorHAnsi" w:cstheme="minorHAnsi"/>
                <w:b/>
                <w:bCs/>
                <w:i/>
                <w:iCs/>
                <w:color w:val="3D99C9"/>
                <w:sz w:val="16"/>
                <w:szCs w:val="16"/>
                <w:lang w:val="en-GB"/>
              </w:rPr>
            </w:pPr>
            <w:r w:rsidRPr="00E41832">
              <w:rPr>
                <w:rFonts w:asciiTheme="minorHAnsi" w:eastAsiaTheme="minorEastAsia" w:hAnsiTheme="minorHAnsi" w:cstheme="minorHAnsi"/>
                <w:b/>
                <w:bCs/>
                <w:i/>
                <w:iCs/>
                <w:color w:val="3D99C9"/>
                <w:sz w:val="16"/>
                <w:szCs w:val="16"/>
                <w:lang w:val="en-GB"/>
              </w:rPr>
              <w:t xml:space="preserve">18. </w:t>
            </w:r>
            <w:r w:rsidRPr="00E41832">
              <w:rPr>
                <w:rFonts w:asciiTheme="minorHAnsi" w:eastAsiaTheme="minorEastAsia" w:hAnsiTheme="minorHAnsi" w:cstheme="minorHAnsi"/>
                <w:b/>
                <w:bCs/>
                <w:i/>
                <w:iCs/>
                <w:color w:val="414142"/>
                <w:sz w:val="16"/>
                <w:szCs w:val="16"/>
                <w:lang w:val="en-GB"/>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E41832" w14:paraId="6D6E9AE4" w14:textId="77777777" w:rsidTr="00211F15">
        <w:tc>
          <w:tcPr>
            <w:tcW w:w="1515" w:type="dxa"/>
            <w:tcBorders>
              <w:right w:val="single" w:sz="4" w:space="0" w:color="auto"/>
            </w:tcBorders>
            <w:tcMar>
              <w:top w:w="57" w:type="dxa"/>
              <w:bottom w:w="57" w:type="dxa"/>
            </w:tcMar>
          </w:tcPr>
          <w:p w14:paraId="6A6E7601"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414142"/>
                <w:sz w:val="16"/>
                <w:szCs w:val="16"/>
                <w:lang w:val="en-GB"/>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2AB1E180" w14:textId="77777777" w:rsidR="008A38E8" w:rsidRPr="00E41832" w:rsidRDefault="008A38E8" w:rsidP="00211F15">
            <w:pPr>
              <w:autoSpaceDE w:val="0"/>
              <w:autoSpaceDN w:val="0"/>
              <w:adjustRightInd w:val="0"/>
              <w:rPr>
                <w:rFonts w:asciiTheme="minorHAnsi" w:eastAsiaTheme="minorEastAsia" w:hAnsiTheme="minorHAnsi" w:cstheme="minorHAnsi"/>
                <w:color w:val="3D99C9"/>
                <w:sz w:val="16"/>
                <w:szCs w:val="16"/>
                <w:lang w:val="en-GB"/>
              </w:rPr>
            </w:pPr>
            <w:r w:rsidRPr="00E41832">
              <w:rPr>
                <w:rFonts w:asciiTheme="minorHAnsi" w:eastAsiaTheme="minorEastAsia" w:hAnsiTheme="minorHAnsi" w:cstheme="minorHAnsi"/>
                <w:color w:val="3D99C9"/>
                <w:sz w:val="16"/>
                <w:szCs w:val="16"/>
                <w:lang w:val="en-GB"/>
              </w:rPr>
              <w:t xml:space="preserve">9. </w:t>
            </w:r>
            <w:r w:rsidRPr="00E41832">
              <w:rPr>
                <w:rFonts w:asciiTheme="minorHAnsi" w:eastAsiaTheme="minorEastAsia" w:hAnsiTheme="minorHAnsi" w:cstheme="minorHAnsi"/>
                <w:color w:val="414142"/>
                <w:sz w:val="16"/>
                <w:szCs w:val="16"/>
                <w:lang w:val="en-GB"/>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0524BCE0" w14:textId="77777777" w:rsidR="008A38E8" w:rsidRPr="00E41832" w:rsidRDefault="008A38E8" w:rsidP="00211F15">
            <w:pPr>
              <w:autoSpaceDE w:val="0"/>
              <w:autoSpaceDN w:val="0"/>
              <w:adjustRightInd w:val="0"/>
              <w:rPr>
                <w:rFonts w:asciiTheme="minorHAnsi" w:eastAsiaTheme="minorEastAsia" w:hAnsiTheme="minorHAnsi" w:cstheme="minorHAnsi"/>
                <w:color w:val="3D99C9"/>
                <w:sz w:val="16"/>
                <w:szCs w:val="16"/>
                <w:lang w:val="en-GB"/>
              </w:rPr>
            </w:pPr>
            <w:r w:rsidRPr="00E41832">
              <w:rPr>
                <w:rFonts w:asciiTheme="minorHAnsi" w:eastAsiaTheme="minorEastAsia" w:hAnsiTheme="minorHAnsi" w:cstheme="minorHAnsi"/>
                <w:color w:val="3D99C9"/>
                <w:sz w:val="16"/>
                <w:szCs w:val="16"/>
                <w:lang w:val="en-GB"/>
              </w:rPr>
              <w:t xml:space="preserve">19. </w:t>
            </w:r>
            <w:r w:rsidRPr="00E41832">
              <w:rPr>
                <w:rFonts w:asciiTheme="minorHAnsi" w:eastAsiaTheme="minorEastAsia" w:hAnsiTheme="minorHAnsi" w:cstheme="minorHAnsi"/>
                <w:color w:val="414142"/>
                <w:sz w:val="16"/>
                <w:szCs w:val="16"/>
                <w:lang w:val="en-GB"/>
              </w:rPr>
              <w:t>Availability and affordability of quality, safe and efficacious essential noncommunicable disease medicines, including generics, and basic technologies in both public and private facilities</w:t>
            </w:r>
          </w:p>
        </w:tc>
      </w:tr>
      <w:tr w:rsidR="008A38E8" w:rsidRPr="00E41832" w14:paraId="28022131" w14:textId="77777777" w:rsidTr="00211F15">
        <w:tc>
          <w:tcPr>
            <w:tcW w:w="4066" w:type="dxa"/>
            <w:gridSpan w:val="2"/>
            <w:tcBorders>
              <w:right w:val="single" w:sz="4" w:space="0" w:color="auto"/>
            </w:tcBorders>
            <w:tcMar>
              <w:top w:w="57" w:type="dxa"/>
              <w:bottom w:w="57" w:type="dxa"/>
            </w:tcMar>
          </w:tcPr>
          <w:p w14:paraId="4738FB8A" w14:textId="77777777" w:rsidR="008A38E8" w:rsidRPr="00E41832" w:rsidRDefault="008A38E8" w:rsidP="00211F15">
            <w:pPr>
              <w:autoSpaceDE w:val="0"/>
              <w:autoSpaceDN w:val="0"/>
              <w:adjustRightInd w:val="0"/>
              <w:rPr>
                <w:rFonts w:asciiTheme="minorHAnsi" w:eastAsiaTheme="minorEastAsia" w:hAnsiTheme="minorHAnsi" w:cstheme="minorHAnsi"/>
                <w:color w:val="3D99C9"/>
                <w:sz w:val="16"/>
                <w:szCs w:val="16"/>
                <w:lang w:val="en-GB"/>
              </w:rPr>
            </w:pPr>
            <w:r w:rsidRPr="00E41832">
              <w:rPr>
                <w:rFonts w:asciiTheme="minorHAnsi" w:eastAsiaTheme="minorEastAsia" w:hAnsiTheme="minorHAnsi" w:cstheme="minorHAnsi"/>
                <w:color w:val="414142"/>
                <w:sz w:val="16"/>
                <w:szCs w:val="16"/>
                <w:lang w:val="en-GB"/>
              </w:rPr>
              <w:t xml:space="preserve">Additional indicators </w:t>
            </w:r>
          </w:p>
        </w:tc>
        <w:tc>
          <w:tcPr>
            <w:tcW w:w="5165" w:type="dxa"/>
            <w:tcBorders>
              <w:left w:val="single" w:sz="4" w:space="0" w:color="auto"/>
            </w:tcBorders>
            <w:tcMar>
              <w:top w:w="57" w:type="dxa"/>
              <w:bottom w:w="57" w:type="dxa"/>
            </w:tcMar>
          </w:tcPr>
          <w:p w14:paraId="7016A762"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20. </w:t>
            </w:r>
            <w:r w:rsidRPr="00E41832">
              <w:rPr>
                <w:rFonts w:asciiTheme="minorHAnsi" w:eastAsiaTheme="minorEastAsia" w:hAnsiTheme="minorHAnsi" w:cstheme="minorHAnsi"/>
                <w:color w:val="414142"/>
                <w:sz w:val="16"/>
                <w:szCs w:val="16"/>
                <w:lang w:val="en-GB"/>
              </w:rPr>
              <w:t>Access to palliative care assessed by morphine-equivalent</w:t>
            </w:r>
          </w:p>
          <w:p w14:paraId="30205B08"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p>
          <w:p w14:paraId="64510245"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21. </w:t>
            </w:r>
            <w:r w:rsidRPr="00E41832">
              <w:rPr>
                <w:rFonts w:asciiTheme="minorHAnsi" w:eastAsiaTheme="minorEastAsia" w:hAnsiTheme="minorHAnsi" w:cstheme="minorHAnsi"/>
                <w:color w:val="414142"/>
                <w:sz w:val="16"/>
                <w:szCs w:val="16"/>
                <w:lang w:val="en-GB"/>
              </w:rPr>
              <w:t>Adoption of national policies that limit saturated fatty acids and virtually eliminate partially hydrogenated vegetable oils in the food supply, as appropriate, within the national context and national programmes</w:t>
            </w:r>
          </w:p>
          <w:p w14:paraId="12D0EC08"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p>
          <w:p w14:paraId="73FBB603"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22. </w:t>
            </w:r>
            <w:r w:rsidRPr="00E41832">
              <w:rPr>
                <w:rFonts w:asciiTheme="minorHAnsi" w:eastAsiaTheme="minorEastAsia" w:hAnsiTheme="minorHAnsi" w:cstheme="minorHAnsi"/>
                <w:color w:val="414142"/>
                <w:sz w:val="16"/>
                <w:szCs w:val="16"/>
                <w:lang w:val="en-GB"/>
              </w:rPr>
              <w:t>Availability, as appropriate, if cost-effective and affordable, of vaccines against human papillomavirus, according to national programmes and policies</w:t>
            </w:r>
          </w:p>
          <w:p w14:paraId="1A827965"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p>
          <w:p w14:paraId="1A77C52D"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23. </w:t>
            </w:r>
            <w:r w:rsidRPr="00E41832">
              <w:rPr>
                <w:rFonts w:asciiTheme="minorHAnsi" w:eastAsiaTheme="minorEastAsia" w:hAnsiTheme="minorHAnsi" w:cstheme="minorHAnsi"/>
                <w:color w:val="414142"/>
                <w:sz w:val="16"/>
                <w:szCs w:val="16"/>
                <w:lang w:val="en-GB"/>
              </w:rPr>
              <w:t>Policies to reduce the impact on children of marketing of foods and non-alcoholic beverages high in saturated fats, trans fatty acids, free sugars, or salt</w:t>
            </w:r>
          </w:p>
          <w:p w14:paraId="7FD40CA3"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p>
          <w:p w14:paraId="04F5B963"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r w:rsidRPr="00E41832">
              <w:rPr>
                <w:rFonts w:asciiTheme="minorHAnsi" w:eastAsiaTheme="minorEastAsia" w:hAnsiTheme="minorHAnsi" w:cstheme="minorHAnsi"/>
                <w:color w:val="3D99C9"/>
                <w:sz w:val="16"/>
                <w:szCs w:val="16"/>
                <w:lang w:val="en-GB"/>
              </w:rPr>
              <w:t xml:space="preserve">24. </w:t>
            </w:r>
            <w:r w:rsidRPr="00E41832">
              <w:rPr>
                <w:rFonts w:asciiTheme="minorHAnsi" w:eastAsiaTheme="minorEastAsia" w:hAnsiTheme="minorHAnsi" w:cstheme="minorHAnsi"/>
                <w:color w:val="414142"/>
                <w:sz w:val="16"/>
                <w:szCs w:val="16"/>
                <w:lang w:val="en-GB"/>
              </w:rPr>
              <w:t>Vaccination coverage against hepatitis B virus monitored by number of third doses of Hep-B vaccine (HepB3) administered to infants</w:t>
            </w:r>
          </w:p>
          <w:p w14:paraId="61D5BB4B" w14:textId="77777777" w:rsidR="008A38E8" w:rsidRPr="00E41832" w:rsidRDefault="008A38E8" w:rsidP="00211F15">
            <w:pPr>
              <w:autoSpaceDE w:val="0"/>
              <w:autoSpaceDN w:val="0"/>
              <w:adjustRightInd w:val="0"/>
              <w:rPr>
                <w:rFonts w:asciiTheme="minorHAnsi" w:eastAsiaTheme="minorEastAsia" w:hAnsiTheme="minorHAnsi" w:cstheme="minorHAnsi"/>
                <w:color w:val="414142"/>
                <w:sz w:val="16"/>
                <w:szCs w:val="16"/>
                <w:lang w:val="en-GB"/>
              </w:rPr>
            </w:pPr>
          </w:p>
          <w:p w14:paraId="5F7F0C27" w14:textId="77777777" w:rsidR="008A38E8" w:rsidRPr="00E41832" w:rsidRDefault="008A38E8" w:rsidP="00211F15">
            <w:pPr>
              <w:autoSpaceDE w:val="0"/>
              <w:autoSpaceDN w:val="0"/>
              <w:adjustRightInd w:val="0"/>
              <w:rPr>
                <w:rFonts w:asciiTheme="minorHAnsi" w:eastAsiaTheme="minorEastAsia" w:hAnsiTheme="minorHAnsi" w:cstheme="minorHAnsi"/>
                <w:b/>
                <w:bCs/>
                <w:i/>
                <w:iCs/>
                <w:color w:val="3D99C9"/>
                <w:sz w:val="16"/>
                <w:szCs w:val="16"/>
                <w:lang w:val="en-GB"/>
              </w:rPr>
            </w:pPr>
            <w:r w:rsidRPr="00E41832">
              <w:rPr>
                <w:rFonts w:asciiTheme="minorHAnsi" w:eastAsiaTheme="minorEastAsia" w:hAnsiTheme="minorHAnsi" w:cstheme="minorHAnsi"/>
                <w:b/>
                <w:bCs/>
                <w:i/>
                <w:iCs/>
                <w:color w:val="3D99C9"/>
                <w:sz w:val="16"/>
                <w:szCs w:val="16"/>
                <w:lang w:val="en-GB"/>
              </w:rPr>
              <w:t xml:space="preserve">25. </w:t>
            </w:r>
            <w:r w:rsidRPr="00E41832">
              <w:rPr>
                <w:rFonts w:asciiTheme="minorHAnsi" w:eastAsiaTheme="minorEastAsia" w:hAnsiTheme="minorHAnsi" w:cstheme="minorHAnsi"/>
                <w:b/>
                <w:bCs/>
                <w:i/>
                <w:iCs/>
                <w:color w:val="414142"/>
                <w:sz w:val="16"/>
                <w:szCs w:val="16"/>
                <w:lang w:val="en-GB"/>
              </w:rPr>
              <w:t>Proportion of women between the ages of 30–49 screened for cervical cancer at least once, or more often, and for lower or higher age groups according to national programmes or policies</w:t>
            </w:r>
          </w:p>
        </w:tc>
      </w:tr>
    </w:tbl>
    <w:p w14:paraId="07B0EA75" w14:textId="4202F967" w:rsidR="00995BD7" w:rsidRPr="00E41832" w:rsidRDefault="00995BD7" w:rsidP="008A38E8">
      <w:pPr>
        <w:rPr>
          <w:rFonts w:asciiTheme="minorHAnsi" w:hAnsiTheme="minorHAnsi" w:cstheme="minorHAnsi"/>
        </w:rPr>
      </w:pPr>
      <w:r w:rsidRPr="00E41832">
        <w:rPr>
          <w:rFonts w:asciiTheme="minorHAnsi" w:hAnsiTheme="minorHAnsi" w:cstheme="minorHAnsi"/>
        </w:rPr>
        <w:br w:type="page"/>
      </w:r>
    </w:p>
    <w:p w14:paraId="291F45A0" w14:textId="77777777" w:rsidR="008A38E8" w:rsidRPr="00E41832" w:rsidRDefault="008A38E8" w:rsidP="008A38E8">
      <w:pPr>
        <w:rPr>
          <w:rFonts w:asciiTheme="minorHAnsi" w:hAnsiTheme="minorHAnsi" w:cstheme="minorHAnsi"/>
        </w:rPr>
      </w:pPr>
    </w:p>
    <w:bookmarkEnd w:id="1"/>
    <w:bookmarkEnd w:id="2"/>
    <w:p w14:paraId="2FBECAAA" w14:textId="0B641911" w:rsidR="00DF683E" w:rsidRPr="00E41832" w:rsidRDefault="00DF683E">
      <w:pPr>
        <w:rPr>
          <w:rFonts w:asciiTheme="minorHAnsi" w:hAnsiTheme="minorHAnsi" w:cstheme="minorHAnsi"/>
          <w:b/>
          <w:color w:val="008000"/>
          <w:sz w:val="32"/>
          <w:szCs w:val="20"/>
        </w:rPr>
      </w:pPr>
    </w:p>
    <w:sectPr w:rsidR="00DF683E" w:rsidRPr="00E41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9EC1F" w14:textId="77777777" w:rsidR="006128AE" w:rsidRDefault="006128AE" w:rsidP="008A38E8">
      <w:r>
        <w:separator/>
      </w:r>
    </w:p>
  </w:endnote>
  <w:endnote w:type="continuationSeparator" w:id="0">
    <w:p w14:paraId="071190BE" w14:textId="77777777" w:rsidR="006128AE" w:rsidRDefault="006128AE" w:rsidP="008A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EndPr>
      <w:rPr>
        <w:rStyle w:val="PageNumber"/>
      </w:rPr>
    </w:sdtEndPr>
    <w:sdtContent>
      <w:p w14:paraId="36FFA4A8" w14:textId="51465407" w:rsidR="002479B3" w:rsidRDefault="002479B3"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B480A">
          <w:rPr>
            <w:rStyle w:val="PageNumber"/>
            <w:noProof/>
          </w:rPr>
          <w:t>1</w:t>
        </w:r>
        <w:r>
          <w:rPr>
            <w:rStyle w:val="PageNumber"/>
          </w:rPr>
          <w:fldChar w:fldCharType="end"/>
        </w:r>
      </w:p>
    </w:sdtContent>
  </w:sdt>
  <w:p w14:paraId="2EC42D03" w14:textId="77777777" w:rsidR="002479B3" w:rsidRDefault="00247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EndPr>
      <w:rPr>
        <w:rStyle w:val="PageNumber"/>
      </w:rPr>
    </w:sdtEndPr>
    <w:sdtContent>
      <w:p w14:paraId="3785701E" w14:textId="3CD08608" w:rsidR="002479B3" w:rsidRDefault="002479B3"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C918CE" w14:textId="2FD59E4F" w:rsidR="008A38E8" w:rsidRDefault="008A38E8"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D09E1" w14:textId="77777777" w:rsidR="008A38E8" w:rsidRPr="00F7321D" w:rsidRDefault="008A38E8"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7000E1E4" w14:textId="77777777" w:rsidR="008A38E8" w:rsidRDefault="008A38E8"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FC382" w14:textId="77777777" w:rsidR="006128AE" w:rsidRDefault="006128AE" w:rsidP="008A38E8">
      <w:r>
        <w:separator/>
      </w:r>
    </w:p>
  </w:footnote>
  <w:footnote w:type="continuationSeparator" w:id="0">
    <w:p w14:paraId="6992E7DE" w14:textId="77777777" w:rsidR="006128AE" w:rsidRDefault="006128AE" w:rsidP="008A38E8">
      <w:r>
        <w:continuationSeparator/>
      </w:r>
    </w:p>
  </w:footnote>
  <w:footnote w:id="1">
    <w:p w14:paraId="53E79583" w14:textId="77777777" w:rsidR="008A38E8" w:rsidRPr="00E800A6" w:rsidRDefault="008A38E8"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765F9E26" w14:textId="77777777" w:rsidR="008A38E8" w:rsidRPr="00E87593" w:rsidRDefault="008A38E8"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1902057932">
    <w:abstractNumId w:val="2"/>
  </w:num>
  <w:num w:numId="2" w16cid:durableId="781220652">
    <w:abstractNumId w:val="1"/>
  </w:num>
  <w:num w:numId="3" w16cid:durableId="195725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E8"/>
    <w:rsid w:val="00000882"/>
    <w:rsid w:val="000570FE"/>
    <w:rsid w:val="000614D9"/>
    <w:rsid w:val="000666A3"/>
    <w:rsid w:val="00076501"/>
    <w:rsid w:val="00076855"/>
    <w:rsid w:val="000812FD"/>
    <w:rsid w:val="00087DB6"/>
    <w:rsid w:val="0009650D"/>
    <w:rsid w:val="000D0EDE"/>
    <w:rsid w:val="000D6D9D"/>
    <w:rsid w:val="000F3A17"/>
    <w:rsid w:val="000F5381"/>
    <w:rsid w:val="00100CCB"/>
    <w:rsid w:val="00106C9F"/>
    <w:rsid w:val="00110D7D"/>
    <w:rsid w:val="00132CB4"/>
    <w:rsid w:val="00153525"/>
    <w:rsid w:val="00156DF3"/>
    <w:rsid w:val="0016109D"/>
    <w:rsid w:val="00163374"/>
    <w:rsid w:val="0018372C"/>
    <w:rsid w:val="001938CB"/>
    <w:rsid w:val="001A50E8"/>
    <w:rsid w:val="001B0EE5"/>
    <w:rsid w:val="001B705D"/>
    <w:rsid w:val="001C01BF"/>
    <w:rsid w:val="001C2CFB"/>
    <w:rsid w:val="001D5902"/>
    <w:rsid w:val="001D69AC"/>
    <w:rsid w:val="001E733E"/>
    <w:rsid w:val="001F1951"/>
    <w:rsid w:val="001F56FB"/>
    <w:rsid w:val="0020536B"/>
    <w:rsid w:val="00221B9F"/>
    <w:rsid w:val="002240A3"/>
    <w:rsid w:val="00227A4A"/>
    <w:rsid w:val="00231358"/>
    <w:rsid w:val="002403B1"/>
    <w:rsid w:val="002479B3"/>
    <w:rsid w:val="00250E34"/>
    <w:rsid w:val="0026520C"/>
    <w:rsid w:val="0026769E"/>
    <w:rsid w:val="00285419"/>
    <w:rsid w:val="002916BB"/>
    <w:rsid w:val="002A2040"/>
    <w:rsid w:val="002A66A0"/>
    <w:rsid w:val="002B0CBC"/>
    <w:rsid w:val="002E3344"/>
    <w:rsid w:val="002E513C"/>
    <w:rsid w:val="003111E6"/>
    <w:rsid w:val="0032266D"/>
    <w:rsid w:val="003309E6"/>
    <w:rsid w:val="003343F3"/>
    <w:rsid w:val="0034681A"/>
    <w:rsid w:val="00352DC4"/>
    <w:rsid w:val="00355334"/>
    <w:rsid w:val="00364C2B"/>
    <w:rsid w:val="00396CCC"/>
    <w:rsid w:val="003A3FDF"/>
    <w:rsid w:val="003A6D1F"/>
    <w:rsid w:val="003D1ECC"/>
    <w:rsid w:val="003F1F71"/>
    <w:rsid w:val="00404546"/>
    <w:rsid w:val="00411773"/>
    <w:rsid w:val="00422C3B"/>
    <w:rsid w:val="00462F08"/>
    <w:rsid w:val="00465CD4"/>
    <w:rsid w:val="00480E41"/>
    <w:rsid w:val="004B00A8"/>
    <w:rsid w:val="004B28C0"/>
    <w:rsid w:val="004D5795"/>
    <w:rsid w:val="00502C09"/>
    <w:rsid w:val="0051077A"/>
    <w:rsid w:val="005265FD"/>
    <w:rsid w:val="0052708F"/>
    <w:rsid w:val="005371F3"/>
    <w:rsid w:val="00552551"/>
    <w:rsid w:val="00552C11"/>
    <w:rsid w:val="005559DD"/>
    <w:rsid w:val="00580873"/>
    <w:rsid w:val="00580C1A"/>
    <w:rsid w:val="005A537C"/>
    <w:rsid w:val="005B4FDD"/>
    <w:rsid w:val="005D4B50"/>
    <w:rsid w:val="005E6BFE"/>
    <w:rsid w:val="005F57F1"/>
    <w:rsid w:val="006128AE"/>
    <w:rsid w:val="00621860"/>
    <w:rsid w:val="00631745"/>
    <w:rsid w:val="00632DF4"/>
    <w:rsid w:val="0064761F"/>
    <w:rsid w:val="00671D3C"/>
    <w:rsid w:val="00672437"/>
    <w:rsid w:val="006816E2"/>
    <w:rsid w:val="006C51AB"/>
    <w:rsid w:val="006C647F"/>
    <w:rsid w:val="006D3F45"/>
    <w:rsid w:val="00707A03"/>
    <w:rsid w:val="00736FFA"/>
    <w:rsid w:val="00771EDF"/>
    <w:rsid w:val="00774E5C"/>
    <w:rsid w:val="007853C4"/>
    <w:rsid w:val="00787853"/>
    <w:rsid w:val="0079006C"/>
    <w:rsid w:val="007945FB"/>
    <w:rsid w:val="00800FC3"/>
    <w:rsid w:val="00821DD1"/>
    <w:rsid w:val="00834732"/>
    <w:rsid w:val="008550F2"/>
    <w:rsid w:val="0086609C"/>
    <w:rsid w:val="008706D2"/>
    <w:rsid w:val="00871E61"/>
    <w:rsid w:val="008847FC"/>
    <w:rsid w:val="00884846"/>
    <w:rsid w:val="00886B9A"/>
    <w:rsid w:val="008A38E8"/>
    <w:rsid w:val="008E09C8"/>
    <w:rsid w:val="008F3FF2"/>
    <w:rsid w:val="00930B04"/>
    <w:rsid w:val="009429C6"/>
    <w:rsid w:val="00974CFC"/>
    <w:rsid w:val="00980DDE"/>
    <w:rsid w:val="00986F94"/>
    <w:rsid w:val="009916B4"/>
    <w:rsid w:val="00994D10"/>
    <w:rsid w:val="00995ADA"/>
    <w:rsid w:val="00995BD7"/>
    <w:rsid w:val="009A791F"/>
    <w:rsid w:val="009B48AB"/>
    <w:rsid w:val="009E6068"/>
    <w:rsid w:val="00A049CC"/>
    <w:rsid w:val="00A10CE6"/>
    <w:rsid w:val="00A564B7"/>
    <w:rsid w:val="00A603AA"/>
    <w:rsid w:val="00A63711"/>
    <w:rsid w:val="00A702A7"/>
    <w:rsid w:val="00AB2146"/>
    <w:rsid w:val="00AB67E6"/>
    <w:rsid w:val="00AC3B98"/>
    <w:rsid w:val="00B2798C"/>
    <w:rsid w:val="00B370C3"/>
    <w:rsid w:val="00B73E03"/>
    <w:rsid w:val="00B83486"/>
    <w:rsid w:val="00B86064"/>
    <w:rsid w:val="00B87437"/>
    <w:rsid w:val="00B92C5C"/>
    <w:rsid w:val="00B97024"/>
    <w:rsid w:val="00BA0E29"/>
    <w:rsid w:val="00BA750F"/>
    <w:rsid w:val="00BC2DEA"/>
    <w:rsid w:val="00BD70FF"/>
    <w:rsid w:val="00BE37A0"/>
    <w:rsid w:val="00C00CA3"/>
    <w:rsid w:val="00C5703B"/>
    <w:rsid w:val="00C65CA0"/>
    <w:rsid w:val="00CC40DB"/>
    <w:rsid w:val="00CE5D80"/>
    <w:rsid w:val="00D1262C"/>
    <w:rsid w:val="00D177E6"/>
    <w:rsid w:val="00D47DCA"/>
    <w:rsid w:val="00D64B17"/>
    <w:rsid w:val="00D66225"/>
    <w:rsid w:val="00D75DD6"/>
    <w:rsid w:val="00D8029D"/>
    <w:rsid w:val="00D81163"/>
    <w:rsid w:val="00DA3B0B"/>
    <w:rsid w:val="00DA5F7A"/>
    <w:rsid w:val="00DC26B1"/>
    <w:rsid w:val="00DD4379"/>
    <w:rsid w:val="00DD64F1"/>
    <w:rsid w:val="00DD6F80"/>
    <w:rsid w:val="00DE00ED"/>
    <w:rsid w:val="00DF683E"/>
    <w:rsid w:val="00E00853"/>
    <w:rsid w:val="00E10B93"/>
    <w:rsid w:val="00E24873"/>
    <w:rsid w:val="00E34BD9"/>
    <w:rsid w:val="00E41832"/>
    <w:rsid w:val="00E43179"/>
    <w:rsid w:val="00E53CBC"/>
    <w:rsid w:val="00E6590E"/>
    <w:rsid w:val="00E662C4"/>
    <w:rsid w:val="00E748AD"/>
    <w:rsid w:val="00EB54D7"/>
    <w:rsid w:val="00EC1014"/>
    <w:rsid w:val="00F01CA8"/>
    <w:rsid w:val="00F35D1F"/>
    <w:rsid w:val="00F45253"/>
    <w:rsid w:val="00F4760F"/>
    <w:rsid w:val="00F5785D"/>
    <w:rsid w:val="00F6454F"/>
    <w:rsid w:val="00FA50C3"/>
    <w:rsid w:val="00FA651F"/>
    <w:rsid w:val="00FB1F69"/>
    <w:rsid w:val="00FB480A"/>
    <w:rsid w:val="00FE2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4FF1"/>
  <w15:chartTrackingRefBased/>
  <w15:docId w15:val="{9BABDF9A-F451-F34F-99CF-23CDFB4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E8"/>
    <w:rPr>
      <w:rFonts w:ascii="Times New Roman" w:eastAsia="Times New Roman" w:hAnsi="Times New Roman" w:cs="Times New Roman"/>
      <w:color w:val="000000"/>
      <w:kern w:val="0"/>
      <w:lang w:val="en-US"/>
      <w14:ligatures w14:val="none"/>
    </w:rPr>
  </w:style>
  <w:style w:type="paragraph" w:styleId="Heading1">
    <w:name w:val="heading 1"/>
    <w:basedOn w:val="Normal"/>
    <w:next w:val="Normal"/>
    <w:link w:val="Heading1Char"/>
    <w:uiPriority w:val="9"/>
    <w:qFormat/>
    <w:rsid w:val="002E513C"/>
    <w:pPr>
      <w:keepNext/>
      <w:keepLines/>
      <w:spacing w:before="240" w:after="240"/>
      <w:outlineLvl w:val="0"/>
    </w:pPr>
    <w:rPr>
      <w:rFonts w:ascii="Arial" w:eastAsiaTheme="majorEastAsia" w:hAnsi="Arial" w:cstheme="majorBidi"/>
      <w:b/>
      <w:color w:val="00B050"/>
      <w:sz w:val="40"/>
      <w:szCs w:val="32"/>
    </w:rPr>
  </w:style>
  <w:style w:type="paragraph" w:styleId="Heading4">
    <w:name w:val="heading 4"/>
    <w:aliases w:val="Map Title"/>
    <w:basedOn w:val="Normal"/>
    <w:next w:val="Normal"/>
    <w:link w:val="Heading4Char"/>
    <w:qFormat/>
    <w:rsid w:val="008A38E8"/>
    <w:pPr>
      <w:spacing w:after="240"/>
      <w:outlineLvl w:val="3"/>
    </w:pPr>
    <w:rPr>
      <w:rFonts w:ascii="Arial" w:hAnsi="Arial" w:cs="Arial"/>
      <w:b/>
      <w:color w:val="008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B480A"/>
    <w:pPr>
      <w:spacing w:after="100"/>
      <w:contextualSpacing/>
    </w:pPr>
    <w:rPr>
      <w:rFonts w:ascii="Calibri" w:hAnsi="Calibri"/>
      <w:szCs w:val="22"/>
    </w:rPr>
  </w:style>
  <w:style w:type="character" w:customStyle="1" w:styleId="Heading4Char">
    <w:name w:val="Heading 4 Char"/>
    <w:aliases w:val="Map Title Char"/>
    <w:basedOn w:val="DefaultParagraphFont"/>
    <w:link w:val="Heading4"/>
    <w:rsid w:val="008A38E8"/>
    <w:rPr>
      <w:rFonts w:ascii="Arial" w:eastAsia="Times New Roman" w:hAnsi="Arial" w:cs="Arial"/>
      <w:b/>
      <w:color w:val="008000"/>
      <w:kern w:val="0"/>
      <w:sz w:val="32"/>
      <w:szCs w:val="20"/>
      <w:lang w:val="en-US"/>
      <w14:ligatures w14:val="none"/>
    </w:rPr>
  </w:style>
  <w:style w:type="paragraph" w:customStyle="1" w:styleId="BlockLine">
    <w:name w:val="Block Line"/>
    <w:basedOn w:val="Normal"/>
    <w:next w:val="Normal"/>
    <w:rsid w:val="008A38E8"/>
    <w:pPr>
      <w:pBdr>
        <w:top w:val="single" w:sz="6" w:space="1" w:color="auto"/>
        <w:between w:val="single" w:sz="6" w:space="1" w:color="auto"/>
      </w:pBdr>
      <w:spacing w:before="240"/>
      <w:ind w:left="1728"/>
    </w:pPr>
    <w:rPr>
      <w:szCs w:val="20"/>
    </w:rPr>
  </w:style>
  <w:style w:type="paragraph" w:customStyle="1" w:styleId="BulletText1">
    <w:name w:val="Bullet Text 1"/>
    <w:basedOn w:val="Normal"/>
    <w:rsid w:val="008A38E8"/>
    <w:pPr>
      <w:numPr>
        <w:numId w:val="1"/>
      </w:numPr>
    </w:pPr>
    <w:rPr>
      <w:szCs w:val="20"/>
    </w:rPr>
  </w:style>
  <w:style w:type="paragraph" w:customStyle="1" w:styleId="MemoLine">
    <w:name w:val="Memo Line"/>
    <w:basedOn w:val="BlockLine"/>
    <w:next w:val="Normal"/>
    <w:rsid w:val="008A38E8"/>
    <w:pPr>
      <w:ind w:left="0"/>
    </w:pPr>
  </w:style>
  <w:style w:type="paragraph" w:styleId="Header">
    <w:name w:val="header"/>
    <w:aliases w:val="HeaderQ"/>
    <w:basedOn w:val="Normal"/>
    <w:link w:val="HeaderChar"/>
    <w:rsid w:val="008A38E8"/>
    <w:pPr>
      <w:tabs>
        <w:tab w:val="center" w:pos="4320"/>
        <w:tab w:val="right" w:pos="8640"/>
      </w:tabs>
    </w:pPr>
  </w:style>
  <w:style w:type="character" w:customStyle="1" w:styleId="HeaderChar">
    <w:name w:val="Header Char"/>
    <w:aliases w:val="HeaderQ Char"/>
    <w:basedOn w:val="DefaultParagraphFont"/>
    <w:link w:val="Header"/>
    <w:rsid w:val="008A38E8"/>
    <w:rPr>
      <w:rFonts w:ascii="Times New Roman" w:eastAsia="Times New Roman" w:hAnsi="Times New Roman" w:cs="Times New Roman"/>
      <w:color w:val="000000"/>
      <w:kern w:val="0"/>
      <w:lang w:val="en-US"/>
      <w14:ligatures w14:val="none"/>
    </w:rPr>
  </w:style>
  <w:style w:type="paragraph" w:styleId="Footer">
    <w:name w:val="footer"/>
    <w:basedOn w:val="Normal"/>
    <w:link w:val="FooterChar"/>
    <w:rsid w:val="008A38E8"/>
    <w:pPr>
      <w:tabs>
        <w:tab w:val="center" w:pos="4320"/>
        <w:tab w:val="right" w:pos="8640"/>
      </w:tabs>
    </w:pPr>
  </w:style>
  <w:style w:type="character" w:customStyle="1" w:styleId="FooterChar">
    <w:name w:val="Footer Char"/>
    <w:basedOn w:val="DefaultParagraphFont"/>
    <w:link w:val="Footer"/>
    <w:rsid w:val="008A38E8"/>
    <w:rPr>
      <w:rFonts w:ascii="Times New Roman" w:eastAsia="Times New Roman" w:hAnsi="Times New Roman" w:cs="Times New Roman"/>
      <w:color w:val="000000"/>
      <w:kern w:val="0"/>
      <w:lang w:val="en-US"/>
      <w14:ligatures w14:val="none"/>
    </w:rPr>
  </w:style>
  <w:style w:type="character" w:styleId="PageNumber">
    <w:name w:val="page number"/>
    <w:basedOn w:val="DefaultParagraphFont"/>
    <w:rsid w:val="008A38E8"/>
  </w:style>
  <w:style w:type="paragraph" w:styleId="TOC4">
    <w:name w:val="toc 4"/>
    <w:basedOn w:val="Normal"/>
    <w:next w:val="Normal"/>
    <w:autoRedefine/>
    <w:uiPriority w:val="39"/>
    <w:rsid w:val="008A38E8"/>
    <w:pPr>
      <w:ind w:left="720"/>
    </w:pPr>
  </w:style>
  <w:style w:type="character" w:styleId="Hyperlink">
    <w:name w:val="Hyperlink"/>
    <w:uiPriority w:val="99"/>
    <w:rsid w:val="008A38E8"/>
    <w:rPr>
      <w:color w:val="0000FF"/>
      <w:u w:val="single"/>
    </w:rPr>
  </w:style>
  <w:style w:type="paragraph" w:styleId="ListParagraph">
    <w:name w:val="List Paragraph"/>
    <w:basedOn w:val="Normal"/>
    <w:uiPriority w:val="34"/>
    <w:qFormat/>
    <w:rsid w:val="008A38E8"/>
    <w:pPr>
      <w:spacing w:after="200" w:line="276" w:lineRule="auto"/>
      <w:ind w:left="720"/>
      <w:contextualSpacing/>
    </w:pPr>
    <w:rPr>
      <w:rFonts w:ascii="Calibri" w:eastAsia="SimSun" w:hAnsi="Calibri" w:cs="Arial"/>
      <w:color w:val="auto"/>
      <w:sz w:val="22"/>
      <w:szCs w:val="22"/>
      <w:lang w:eastAsia="zh-CN"/>
    </w:rPr>
  </w:style>
  <w:style w:type="paragraph" w:styleId="FootnoteText">
    <w:name w:val="footnote text"/>
    <w:basedOn w:val="Normal"/>
    <w:link w:val="FootnoteTextChar"/>
    <w:rsid w:val="008A38E8"/>
    <w:rPr>
      <w:sz w:val="20"/>
      <w:szCs w:val="20"/>
    </w:rPr>
  </w:style>
  <w:style w:type="character" w:customStyle="1" w:styleId="FootnoteTextChar">
    <w:name w:val="Footnote Text Char"/>
    <w:basedOn w:val="DefaultParagraphFont"/>
    <w:link w:val="FootnoteText"/>
    <w:rsid w:val="008A38E8"/>
    <w:rPr>
      <w:rFonts w:ascii="Times New Roman" w:eastAsia="Times New Roman" w:hAnsi="Times New Roman" w:cs="Times New Roman"/>
      <w:color w:val="000000"/>
      <w:kern w:val="0"/>
      <w:sz w:val="20"/>
      <w:szCs w:val="20"/>
      <w:lang w:val="en-US"/>
      <w14:ligatures w14:val="none"/>
    </w:rPr>
  </w:style>
  <w:style w:type="character" w:styleId="FootnoteReference">
    <w:name w:val="footnote reference"/>
    <w:basedOn w:val="DefaultParagraphFont"/>
    <w:rsid w:val="008A38E8"/>
    <w:rPr>
      <w:vertAlign w:val="superscript"/>
    </w:rPr>
  </w:style>
  <w:style w:type="table" w:styleId="TableGrid">
    <w:name w:val="Table Grid"/>
    <w:basedOn w:val="TableNormal"/>
    <w:uiPriority w:val="59"/>
    <w:rsid w:val="008A38E8"/>
    <w:rPr>
      <w:rFonts w:eastAsiaTheme="minorEastAsia"/>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513C"/>
    <w:rPr>
      <w:rFonts w:ascii="Arial" w:eastAsiaTheme="majorEastAsia" w:hAnsi="Arial" w:cstheme="majorBidi"/>
      <w:b/>
      <w:color w:val="00B050"/>
      <w:kern w:val="0"/>
      <w:sz w:val="40"/>
      <w:szCs w:val="32"/>
      <w:lang w:val="en-US"/>
      <w14:ligatures w14:val="none"/>
    </w:rPr>
  </w:style>
  <w:style w:type="paragraph" w:styleId="TOCHeading">
    <w:name w:val="TOC Heading"/>
    <w:basedOn w:val="Heading1"/>
    <w:next w:val="Normal"/>
    <w:uiPriority w:val="39"/>
    <w:unhideWhenUsed/>
    <w:qFormat/>
    <w:rsid w:val="00D64B17"/>
    <w:pPr>
      <w:spacing w:after="0" w:line="259" w:lineRule="auto"/>
      <w:outlineLvl w:val="9"/>
    </w:pPr>
    <w:rPr>
      <w:rFonts w:asciiTheme="majorHAnsi" w:hAnsiTheme="majorHAnsi"/>
      <w:b w:val="0"/>
      <w:color w:val="2F5496" w:themeColor="accent1" w:themeShade="BF"/>
      <w:sz w:val="32"/>
    </w:rPr>
  </w:style>
  <w:style w:type="paragraph" w:customStyle="1" w:styleId="Hyperlink1">
    <w:name w:val="Hyperlink1"/>
    <w:basedOn w:val="TOC1"/>
    <w:qFormat/>
    <w:rsid w:val="005B4FDD"/>
    <w:pPr>
      <w:tabs>
        <w:tab w:val="right" w:leader="dot" w:pos="9016"/>
      </w:tabs>
    </w:pPr>
    <w:rPr>
      <w:rFonts w:asciiTheme="minorHAnsi" w:hAnsiTheme="minorHAnsi" w:cstheme="minorHAnsi"/>
    </w:rPr>
  </w:style>
  <w:style w:type="paragraph" w:styleId="Title">
    <w:name w:val="Title"/>
    <w:basedOn w:val="Normal"/>
    <w:next w:val="Normal"/>
    <w:link w:val="TitleChar"/>
    <w:uiPriority w:val="10"/>
    <w:qFormat/>
    <w:rsid w:val="00FB480A"/>
    <w:pPr>
      <w:contextualSpacing/>
      <w:jc w:val="center"/>
    </w:pPr>
    <w:rPr>
      <w:rFonts w:ascii="Calibri" w:eastAsiaTheme="majorEastAsia" w:hAnsi="Calibri" w:cstheme="majorBidi"/>
      <w:b/>
      <w:color w:val="00B050"/>
      <w:spacing w:val="-10"/>
      <w:kern w:val="28"/>
      <w:sz w:val="56"/>
      <w:szCs w:val="56"/>
    </w:rPr>
  </w:style>
  <w:style w:type="character" w:customStyle="1" w:styleId="TitleChar">
    <w:name w:val="Title Char"/>
    <w:basedOn w:val="DefaultParagraphFont"/>
    <w:link w:val="Title"/>
    <w:uiPriority w:val="10"/>
    <w:rsid w:val="00FB480A"/>
    <w:rPr>
      <w:rFonts w:ascii="Calibri" w:eastAsiaTheme="majorEastAsia" w:hAnsi="Calibri" w:cstheme="majorBidi"/>
      <w:b/>
      <w:color w:val="00B050"/>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78734-684A-44AA-9AD8-7B112F8A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Stefan Savin</cp:lastModifiedBy>
  <cp:revision>24</cp:revision>
  <dcterms:created xsi:type="dcterms:W3CDTF">2024-03-08T06:15:00Z</dcterms:created>
  <dcterms:modified xsi:type="dcterms:W3CDTF">2024-08-29T14:06:00Z</dcterms:modified>
</cp:coreProperties>
</file>