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the population who carried a loaded firearm in the past 30 days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V19. Have you carried a loaded firearm on your person outside the home in the last 30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1518"/>
        <w:gridCol w:w="871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Carried a loaded firearm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protection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sport (e.g. hunting target practice)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94.4 - 97.8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95.2 - 97.3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92.6 - 98.3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1518"/>
        <w:gridCol w:w="871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Carried a loaded firearm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protection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sport (e.g. hunting target practice)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98.2 - 99.5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96.5 - 99.9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98.5 - 99.5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98.4 - 99.5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98.1 - 99.7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1518"/>
        <w:gridCol w:w="871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Carried a loaded firearm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protection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sport (e.g. hunting target practice)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97.0 - 98.8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96.0 - 98.5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93.3 - 98.1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97.1 - 98.3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97.1 - 98.4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95.4 - 98.8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2024-10-03T15:20:45Z</dcterms:modified>
  <cp:category/>
</cp:coreProperties>
</file>