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 ≥25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(excluding pregnant women) classified as overweight (BMI≥25)</w:t>
            </w:r>
          </w:p>
        </w:tc>
      </w:tr>
      <w:tr>
        <w:trPr>
          <w:trHeight w:val="122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M11: Height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M12: Weight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8"/>
        <w:gridCol w:w="723"/>
        <w:gridCol w:w="882"/>
        <w:gridCol w:w="906"/>
        <w:gridCol w:w="875"/>
        <w:gridCol w:w="882"/>
        <w:gridCol w:w="906"/>
        <w:gridCol w:w="723"/>
        <w:gridCol w:w="882"/>
        <w:gridCol w:w="906"/>
      </w:tblGrid>
      <w:tr>
        <w:trPr>
          <w:trHeight w:val="57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BMI≥25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BMI≥25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BMI≥25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BMI≥25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18.6 - 28.1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47.8 - 56.6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33.9 - 40.5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39.3 - 50.2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68.8 - 76.8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54.7 - 61.9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50.2 - 62.8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77.9 - 85.5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66.2 - 73.8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49.0 - 65.4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77.3 - 86.8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67.2 - 76.0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33.9 - 40.6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63.6 - 68.7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49.5 - 53.7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32.8 - 39.4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62.9 - 68.7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49.4 - 53.7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31.8 - 51.6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63.1 - 72.7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45.8 - 58.1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2024-10-03T15:21:53Z</dcterms:modified>
  <cp:category/>
</cp:coreProperties>
</file>