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0"/>
        <w:gridCol w:w="784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blood 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Categorization of respondents into blood glucose level categories and percentage of respondents currently on medication for raised blood glucose (non-fasting recipients excluded)</w:t>
            </w:r>
          </w:p>
        </w:tc>
      </w:tr>
      <w:tr>
        <w:trPr>
          <w:trHeight w:val="143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H8: In the past two weeks, have you taken any drugs (medication) for diabetes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H9: Are you currently taking insulin for diabetes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B1: During the last 12 hours have you had anything to eat or drink, other than water?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B5: Blood glucose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Impaired Fasting Glycaemia*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5.1 - 10.7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4.7 - 11.4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3.1 - 4.6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3.1 - 4.8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2.1 - 5.4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2024-10-03T15:22:22Z</dcterms:modified>
  <cp:category/>
</cp:coreProperties>
</file>