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3"/>
        <w:gridCol w:w="746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Frequency of morning drinking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Frequency of needing a first drink in the morning to get going after a heavy drinking session during the past 12 months among past 12 month drinkers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A2: Have you consumed any alcohol within the past 12 months?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A15: How often during the past 12 months have you needed a first drink in the morning to get yourself going after a heavy drinking session?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14.3 - 26.1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6.8 - 17.8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61.6 - 76.1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12.8 - 25.2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5.1 - 12.7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65.9 - 80.2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15.4 - 32.6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62.7 - 80.1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12.8 - 39.5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2.9 - 18.6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52.6 - 81.4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16.1 - 23.5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6.7 - 12.8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66.1 - 75.7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16.7 - 25.6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6.2 - 11.5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65.2 - 75.6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5.2 - 27.1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59.5 - 83.1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4.8 - 14.4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5.7 - 15.8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74.7 - 87.4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4.0 - 15.1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1.6 - 9.1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80.6 - 93.1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3.2 - 22.0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1.3 - 12.1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74.2 - 94.2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7.8 - 37.9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2.3 - 20.7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54.7 - 87.2</w:t>
            </w:r>
          </w:p>
        </w:tc>
      </w:tr>
      <w:tr>
        <w:trPr>
          <w:trHeight w:val="571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5.8 - 12.8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4.7 - 10.8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79.5 - 87.9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80.2 - 89.8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5.3 - 20.8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5.8 - 22.3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67.5 - 85.0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617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Frequency of needing a first drink in the morning to get going during the past 12 months among past 12 month drinkers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monthly or more frequently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less than monthly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12.2 - 21.0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7.2 - 15.5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67.4 - 78.2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4.6 - 10.5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71.4 - 82.6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12.6 - 26.3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69.2 - 83.1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13.4 - 33.8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3.6 - 15.2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58.3 - 80.4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13.7 - 19.4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6.6 - 11.3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71.1 - 78.5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5.9 - 10.2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70.9 - 79.0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9.9 - 18.4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6.3 - 22.6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64.2 - 82.0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2024-10-03T15:15:38Z</dcterms:modified>
  <cp:category/>
</cp:coreProperties>
</file>