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Title: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title should indicate in 15 words or less: what are these data, taxonomic (if applicable), where, and when. Include NES-LTER in the title if applicable.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your title here.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Abstract: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your abstract here.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Keywords: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t xml:space="preserve">LTER Core Research Area(s): </w:t>
      </w:r>
      <w:r w:rsidDel="00000000" w:rsidR="00000000" w:rsidRPr="00000000">
        <w:rPr>
          <w:i w:val="1"/>
          <w:rtl w:val="0"/>
        </w:rPr>
        <w:t xml:space="preserve">please select from primary production, populations, organic matter, inorganic nutrients, and/or disturbance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t xml:space="preserve">LTER controlled vocabulary terms: </w:t>
      </w:r>
      <w:r w:rsidDel="00000000" w:rsidR="00000000" w:rsidRPr="00000000">
        <w:rPr>
          <w:i w:val="1"/>
          <w:rtl w:val="0"/>
        </w:rPr>
        <w:t xml:space="preserve">please select some terms from </w:t>
      </w:r>
      <w:hyperlink r:id="rId7">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LTER controlled vocabulary</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t xml:space="preserve">Additional terms: </w:t>
      </w:r>
      <w:r w:rsidDel="00000000" w:rsidR="00000000" w:rsidRPr="00000000">
        <w:rPr>
          <w:i w:val="1"/>
          <w:rtl w:val="0"/>
        </w:rPr>
        <w:t xml:space="preserve">You may also be interested in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hyperlink r:id="rId8">
        <w:r w:rsidDel="00000000" w:rsidR="00000000" w:rsidRPr="00000000">
          <w:rPr>
            <w:rFonts w:ascii="Cambria" w:cs="Cambria" w:eastAsia="Cambria" w:hAnsi="Cambria"/>
            <w:b w:val="0"/>
            <w:i w:val="1"/>
            <w:smallCaps w:val="0"/>
            <w:strike w:val="0"/>
            <w:color w:val="4f81bd"/>
            <w:sz w:val="24"/>
            <w:szCs w:val="24"/>
            <w:u w:val="none"/>
            <w:shd w:fill="auto" w:val="clear"/>
            <w:vertAlign w:val="baseline"/>
            <w:rtl w:val="0"/>
          </w:rPr>
          <w:t xml:space="preserve">British Oceanographic Data Centre vocabularies</w:t>
        </w:r>
      </w:hyperlink>
      <w:r w:rsidDel="00000000" w:rsidR="00000000" w:rsidRPr="00000000">
        <w:rPr>
          <w:i w:val="1"/>
          <w:rtl w:val="0"/>
        </w:rPr>
        <w:t xml:space="preserve"> or other vocabularies.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Separate your methods into steps (e.g., sample collection, data processing). Be specific, include instrument descriptions, provide a citation to a paper or protocol if applicable. Please do not use special characters, symbols, or formatting.</w:t>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methodStep1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where you will provide narrative text for the first step of your methods. Write out citation to paper or protocol if available.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need to separate sections of text within this step, please add brief subheader with period then narrative text on the same line, example: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Subheader. Then a paragraph of text.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Subheader.  Then a paragraph of text.</w:t>
      </w:r>
    </w:p>
    <w:bookmarkStart w:colFirst="0" w:colLast="0" w:name="bookmark=id.30j0zll" w:id="0"/>
    <w:bookmarkEnd w:id="0"/>
    <w:p w:rsidR="00000000" w:rsidDel="00000000" w:rsidP="00000000" w:rsidRDefault="00000000" w:rsidRPr="00000000" w14:paraId="0000000F">
      <w:pPr>
        <w:pStyle w:val="Heading2"/>
        <w:rPr/>
      </w:pPr>
      <w:r w:rsidDel="00000000" w:rsidR="00000000" w:rsidRPr="00000000">
        <w:rPr>
          <w:rtl w:val="0"/>
        </w:rPr>
        <w:t xml:space="preserve">methodStep2</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Narrative text or subheaders followed by narrative text and citations as above.</w:t>
      </w:r>
    </w:p>
    <w:p w:rsidR="00000000" w:rsidDel="00000000" w:rsidP="00000000" w:rsidRDefault="00000000" w:rsidRPr="00000000" w14:paraId="00000011">
      <w:pPr>
        <w:pStyle w:val="Heading2"/>
        <w:rPr/>
      </w:pPr>
      <w:r w:rsidDel="00000000" w:rsidR="00000000" w:rsidRPr="00000000">
        <w:rPr>
          <w:rtl w:val="0"/>
        </w:rPr>
        <w:t xml:space="preserve">methodStepn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Narrative text or subheaders followed by narrative text and citations as above.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ocab.lternet.edu/vocab/vocab/index.php" TargetMode="External"/><Relationship Id="rId8" Type="http://schemas.openxmlformats.org/officeDocument/2006/relationships/hyperlink" Target="https://www.bodc.ac.uk/resources/vocabularies/vocabulary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2019-10-01T16:12:00Z</dcterms:created>
  <dc:creator>Stace</dc:creator>
</cp:coreProperties>
</file>