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1D1C72E" w:rsidR="005E36B3" w:rsidRDefault="00504E46">
      <w:pPr>
        <w:pBdr>
          <w:top w:val="nil"/>
          <w:left w:val="nil"/>
          <w:bottom w:val="nil"/>
          <w:right w:val="nil"/>
          <w:between w:val="nil"/>
        </w:pBdr>
        <w:spacing w:before="180" w:after="180"/>
        <w:rPr>
          <w:i/>
          <w:color w:val="000000"/>
        </w:rPr>
      </w:pPr>
      <w:r>
        <w:rPr>
          <w:b/>
          <w:color w:val="000000"/>
        </w:rPr>
        <w:t>Title:</w:t>
      </w:r>
      <w:r>
        <w:rPr>
          <w:color w:val="000000"/>
        </w:rPr>
        <w:t xml:space="preserve"> </w:t>
      </w:r>
    </w:p>
    <w:p w14:paraId="5DCC1257" w14:textId="14413DAD" w:rsidR="00504E46" w:rsidRPr="002841B1" w:rsidRDefault="00504E46" w:rsidP="00504E46">
      <w:pPr>
        <w:pStyle w:val="BodyText"/>
        <w:rPr>
          <w:iCs/>
        </w:rPr>
      </w:pPr>
      <w:r>
        <w:rPr>
          <w:iCs/>
        </w:rPr>
        <w:t xml:space="preserve">Phytoplankton growth and microzooplankton grazing rates from NES-LTER transect cruises, </w:t>
      </w:r>
      <w:r w:rsidR="00E27B16">
        <w:rPr>
          <w:iCs/>
        </w:rPr>
        <w:t>EN608 – EN617 – EN627</w:t>
      </w:r>
      <w:r>
        <w:rPr>
          <w:iCs/>
        </w:rPr>
        <w:t>.</w:t>
      </w:r>
    </w:p>
    <w:p w14:paraId="00000003" w14:textId="027DCBAF" w:rsidR="005E36B3" w:rsidRDefault="00504E46">
      <w:pPr>
        <w:pBdr>
          <w:top w:val="nil"/>
          <w:left w:val="nil"/>
          <w:bottom w:val="nil"/>
          <w:right w:val="nil"/>
          <w:between w:val="nil"/>
        </w:pBdr>
        <w:spacing w:before="180" w:after="180"/>
        <w:rPr>
          <w:i/>
          <w:color w:val="000000"/>
        </w:rPr>
      </w:pPr>
      <w:r>
        <w:rPr>
          <w:b/>
          <w:color w:val="000000"/>
        </w:rPr>
        <w:t>Abstract:</w:t>
      </w:r>
      <w:r>
        <w:rPr>
          <w:color w:val="000000"/>
        </w:rPr>
        <w:t xml:space="preserve"> </w:t>
      </w:r>
    </w:p>
    <w:p w14:paraId="437FD921" w14:textId="6FB3CC05" w:rsidR="00F3019A" w:rsidRDefault="00704476">
      <w:pPr>
        <w:pBdr>
          <w:top w:val="nil"/>
          <w:left w:val="nil"/>
          <w:bottom w:val="nil"/>
          <w:right w:val="nil"/>
          <w:between w:val="nil"/>
        </w:pBdr>
        <w:spacing w:before="180" w:after="180"/>
      </w:pPr>
      <w:r>
        <w:rPr>
          <w:color w:val="000000"/>
        </w:rPr>
        <w:t>Phytoplankton growth and microzooplankton</w:t>
      </w:r>
      <w:r w:rsidR="00B27286">
        <w:rPr>
          <w:color w:val="000000"/>
        </w:rPr>
        <w:t xml:space="preserve"> grazing rates were measured from incubation experiments using the dilution method in the framework of </w:t>
      </w:r>
      <w:r w:rsidR="00D134ED">
        <w:rPr>
          <w:color w:val="000000"/>
        </w:rPr>
        <w:t xml:space="preserve">the </w:t>
      </w:r>
      <w:r w:rsidR="00B27286">
        <w:rPr>
          <w:color w:val="000000"/>
        </w:rPr>
        <w:t>Northeast US Shelf Long-Term Ecological Research pro</w:t>
      </w:r>
      <w:r w:rsidR="00D134ED">
        <w:rPr>
          <w:color w:val="000000"/>
        </w:rPr>
        <w:t>ject</w:t>
      </w:r>
      <w:r w:rsidR="00B27286">
        <w:rPr>
          <w:color w:val="000000"/>
        </w:rPr>
        <w:t xml:space="preserve">. The dataset gathers plankton population dynamics rates obtained during </w:t>
      </w:r>
      <w:r w:rsidR="00D134ED">
        <w:rPr>
          <w:color w:val="000000"/>
        </w:rPr>
        <w:t xml:space="preserve">cruises onboard the R/V Endeavor in </w:t>
      </w:r>
      <w:r w:rsidR="00B27286">
        <w:rPr>
          <w:color w:val="000000"/>
        </w:rPr>
        <w:t>winter 2018 (EN608), summer 2018 (EN617)</w:t>
      </w:r>
      <w:r w:rsidR="00D134ED">
        <w:rPr>
          <w:color w:val="000000"/>
        </w:rPr>
        <w:t>,</w:t>
      </w:r>
      <w:r w:rsidR="00B27286">
        <w:rPr>
          <w:color w:val="000000"/>
        </w:rPr>
        <w:t xml:space="preserve"> and winter 2019 (EN627) along a North/South transect from Martha’s Vineyard to the shelf-break. This is an ongoing dataset reporting the first phytoplankton growth and microzooplankton rates used for a publication. The dataset includes only rates obtained from surface samples. Different light treatments were used to simulate different environmental conditions and to better understand the role of light on plankton population dynamics.</w:t>
      </w:r>
      <w:r w:rsidR="00F3019A">
        <w:rPr>
          <w:color w:val="000000"/>
        </w:rPr>
        <w:t xml:space="preserve"> </w:t>
      </w:r>
      <w:r w:rsidR="00F3019A">
        <w:t>Phytoplankton growth and microzooplan</w:t>
      </w:r>
      <w:r w:rsidR="00D134ED">
        <w:t>kt</w:t>
      </w:r>
      <w:r w:rsidR="00F3019A">
        <w:t>on grazing rates were measured for the total phytoplankton community (</w:t>
      </w:r>
      <w:proofErr w:type="spellStart"/>
      <w:r w:rsidR="00F3019A">
        <w:t>Chl</w:t>
      </w:r>
      <w:proofErr w:type="spellEnd"/>
      <w:r w:rsidR="00F3019A">
        <w:t>-</w:t>
      </w:r>
      <w:r w:rsidR="00F3019A" w:rsidRPr="00F3019A">
        <w:t xml:space="preserve">a </w:t>
      </w:r>
      <w:r w:rsidR="00F3019A">
        <w:t>concentrations) and for size fractions (</w:t>
      </w:r>
      <w:proofErr w:type="spellStart"/>
      <w:r w:rsidR="00F3019A">
        <w:t>Chl</w:t>
      </w:r>
      <w:proofErr w:type="spellEnd"/>
      <w:r w:rsidR="00F3019A">
        <w:t>-</w:t>
      </w:r>
      <w:r w:rsidR="00F3019A" w:rsidRPr="00F3019A">
        <w:t>a</w:t>
      </w:r>
      <w:r w:rsidR="00F3019A">
        <w:t xml:space="preserve"> size fractionation) </w:t>
      </w:r>
      <w:r w:rsidR="00D134ED">
        <w:t>less than</w:t>
      </w:r>
      <w:r w:rsidR="00F3019A">
        <w:t xml:space="preserve"> and </w:t>
      </w:r>
      <w:r w:rsidR="00D134ED">
        <w:t>great</w:t>
      </w:r>
      <w:r w:rsidR="00F3019A">
        <w:t xml:space="preserve">er than 10 </w:t>
      </w:r>
      <w:r w:rsidR="00D134ED">
        <w:t>µm</w:t>
      </w:r>
      <w:r w:rsidR="00F3019A">
        <w:t>. Phytoplankton growth and microzooplankton grazing rates,</w:t>
      </w:r>
      <w:r w:rsidR="00F3019A" w:rsidRPr="00A22233">
        <w:t xml:space="preserve"> </w:t>
      </w:r>
      <w:r w:rsidR="00F3019A">
        <w:t>the first trophic interaction between primary producers and higher trophic levels, are essential parameters to assess the cycling and export of carbon in the ocean and to better understand marine food webs.</w:t>
      </w:r>
    </w:p>
    <w:p w14:paraId="00000005" w14:textId="360D9E54" w:rsidR="005E36B3" w:rsidRDefault="00504E46">
      <w:pPr>
        <w:pBdr>
          <w:top w:val="nil"/>
          <w:left w:val="nil"/>
          <w:bottom w:val="nil"/>
          <w:right w:val="nil"/>
          <w:between w:val="nil"/>
        </w:pBdr>
        <w:spacing w:before="180" w:after="180"/>
        <w:rPr>
          <w:color w:val="000000"/>
        </w:rPr>
      </w:pPr>
      <w:r>
        <w:rPr>
          <w:b/>
          <w:color w:val="000000"/>
        </w:rPr>
        <w:t>Keywords:</w:t>
      </w:r>
      <w:r>
        <w:rPr>
          <w:color w:val="000000"/>
        </w:rPr>
        <w:t xml:space="preserve"> </w:t>
      </w:r>
    </w:p>
    <w:p w14:paraId="00000006" w14:textId="5DDA0289" w:rsidR="005E36B3" w:rsidRDefault="00504E46">
      <w:pPr>
        <w:pBdr>
          <w:top w:val="nil"/>
          <w:left w:val="nil"/>
          <w:bottom w:val="nil"/>
          <w:right w:val="nil"/>
          <w:between w:val="nil"/>
        </w:pBdr>
        <w:spacing w:before="180" w:after="180"/>
        <w:rPr>
          <w:i/>
        </w:rPr>
      </w:pPr>
      <w:r>
        <w:t>LTER Core Research Area(s):</w:t>
      </w:r>
    </w:p>
    <w:p w14:paraId="203D1BCC" w14:textId="11C4934C" w:rsidR="007905AA" w:rsidRPr="007905AA" w:rsidRDefault="00F3019A">
      <w:pPr>
        <w:pBdr>
          <w:top w:val="nil"/>
          <w:left w:val="nil"/>
          <w:bottom w:val="nil"/>
          <w:right w:val="nil"/>
          <w:between w:val="nil"/>
        </w:pBdr>
        <w:spacing w:before="180" w:after="180"/>
      </w:pPr>
      <w:r>
        <w:t xml:space="preserve">Primary production, </w:t>
      </w:r>
      <w:r w:rsidR="007905AA" w:rsidRPr="007905AA">
        <w:t>Population</w:t>
      </w:r>
      <w:r w:rsidR="00D134ED">
        <w:t>s</w:t>
      </w:r>
    </w:p>
    <w:p w14:paraId="00000007" w14:textId="10665246" w:rsidR="005E36B3" w:rsidRDefault="00504E46">
      <w:pPr>
        <w:pBdr>
          <w:top w:val="nil"/>
          <w:left w:val="nil"/>
          <w:bottom w:val="nil"/>
          <w:right w:val="nil"/>
          <w:between w:val="nil"/>
        </w:pBdr>
        <w:spacing w:before="180" w:after="180"/>
        <w:rPr>
          <w:i/>
          <w:color w:val="000000"/>
        </w:rPr>
      </w:pPr>
      <w:r>
        <w:t>LTER controlled vocabulary terms:</w:t>
      </w:r>
    </w:p>
    <w:p w14:paraId="4257EA4A" w14:textId="15CD97BF" w:rsidR="007905AA" w:rsidRDefault="007905AA">
      <w:pPr>
        <w:pBdr>
          <w:top w:val="nil"/>
          <w:left w:val="nil"/>
          <w:bottom w:val="nil"/>
          <w:right w:val="nil"/>
          <w:between w:val="nil"/>
        </w:pBdr>
        <w:spacing w:before="180" w:after="180"/>
      </w:pPr>
      <w:r>
        <w:t>Phytoplankton, growth, zooplankton, grazing, population dynamics, trophic dynamics, aquatic ecosystem</w:t>
      </w:r>
      <w:r w:rsidR="00704476">
        <w:t>s</w:t>
      </w:r>
      <w:r>
        <w:t>, marine</w:t>
      </w:r>
    </w:p>
    <w:p w14:paraId="00000008" w14:textId="7BF5AF73" w:rsidR="005E36B3" w:rsidRDefault="00504E46">
      <w:pPr>
        <w:pBdr>
          <w:top w:val="nil"/>
          <w:left w:val="nil"/>
          <w:bottom w:val="nil"/>
          <w:right w:val="nil"/>
          <w:between w:val="nil"/>
        </w:pBdr>
        <w:spacing w:before="180" w:after="180"/>
        <w:rPr>
          <w:i/>
        </w:rPr>
      </w:pPr>
      <w:r>
        <w:t xml:space="preserve">Additional terms: </w:t>
      </w:r>
    </w:p>
    <w:p w14:paraId="1B58D760" w14:textId="58BE23C7" w:rsidR="00CF170A" w:rsidRPr="00CF170A" w:rsidRDefault="00CF170A">
      <w:pPr>
        <w:pBdr>
          <w:top w:val="nil"/>
          <w:left w:val="nil"/>
          <w:bottom w:val="nil"/>
          <w:right w:val="nil"/>
          <w:between w:val="nil"/>
        </w:pBdr>
        <w:spacing w:before="180" w:after="180"/>
        <w:rPr>
          <w:iCs/>
        </w:rPr>
      </w:pPr>
      <w:r>
        <w:rPr>
          <w:iCs/>
        </w:rPr>
        <w:t>Phytoplankton growth, microzooplankton grazing</w:t>
      </w:r>
    </w:p>
    <w:p w14:paraId="00000009" w14:textId="116F67A1" w:rsidR="005E36B3" w:rsidRDefault="00504E46">
      <w:pPr>
        <w:pBdr>
          <w:top w:val="nil"/>
          <w:left w:val="nil"/>
          <w:bottom w:val="nil"/>
          <w:right w:val="nil"/>
          <w:between w:val="nil"/>
        </w:pBdr>
        <w:spacing w:before="180" w:after="180"/>
        <w:rPr>
          <w:color w:val="000000"/>
        </w:rPr>
      </w:pPr>
      <w:r>
        <w:rPr>
          <w:b/>
          <w:color w:val="000000"/>
        </w:rPr>
        <w:t>Methods:</w:t>
      </w:r>
      <w:r>
        <w:rPr>
          <w:color w:val="000000"/>
        </w:rPr>
        <w:t xml:space="preserve"> </w:t>
      </w:r>
    </w:p>
    <w:p w14:paraId="3B584E02" w14:textId="6170471D" w:rsidR="00CF170A" w:rsidRDefault="00CF170A">
      <w:pPr>
        <w:pStyle w:val="Heading2"/>
      </w:pPr>
      <w:r>
        <w:t>Sample collection</w:t>
      </w:r>
    </w:p>
    <w:p w14:paraId="27B8D682" w14:textId="4A5703AD" w:rsidR="00CF170A" w:rsidRPr="00CF170A" w:rsidRDefault="00CF170A" w:rsidP="00CF170A">
      <w:pPr>
        <w:pStyle w:val="BodyText"/>
      </w:pPr>
      <w:r w:rsidRPr="001512D3">
        <w:t xml:space="preserve">At each station, hydrographic data of depth, temperature, and salinity were collected with a SBE911 </w:t>
      </w:r>
      <w:r w:rsidR="00D134ED">
        <w:t>(</w:t>
      </w:r>
      <w:r w:rsidRPr="001512D3">
        <w:t>Seabird Electronics Inc.</w:t>
      </w:r>
      <w:r w:rsidR="00D134ED">
        <w:t>)</w:t>
      </w:r>
      <w:r>
        <w:t xml:space="preserve"> </w:t>
      </w:r>
      <w:r w:rsidR="00D134ED">
        <w:t xml:space="preserve">CTD-rosette system. </w:t>
      </w:r>
      <w:r w:rsidRPr="001512D3">
        <w:t xml:space="preserve">Seawater for the experiments was collected </w:t>
      </w:r>
      <w:r w:rsidR="00D134ED">
        <w:t>near</w:t>
      </w:r>
      <w:r w:rsidRPr="001512D3">
        <w:t xml:space="preserve"> the surface (</w:t>
      </w:r>
      <w:r>
        <w:t>1.6</w:t>
      </w:r>
      <w:r w:rsidRPr="001512D3">
        <w:t>-</w:t>
      </w:r>
      <w:r>
        <w:t>7</w:t>
      </w:r>
      <w:r w:rsidRPr="001512D3">
        <w:t xml:space="preserve"> m) using </w:t>
      </w:r>
      <w:r>
        <w:t xml:space="preserve">multiple </w:t>
      </w:r>
      <w:proofErr w:type="spellStart"/>
      <w:r>
        <w:t>Niskin</w:t>
      </w:r>
      <w:proofErr w:type="spellEnd"/>
      <w:r>
        <w:t xml:space="preserve"> bottle</w:t>
      </w:r>
      <w:r w:rsidR="00D134ED">
        <w:t>s</w:t>
      </w:r>
      <w:r>
        <w:t xml:space="preserve"> and sometimes from different CTD casts at a given location. Cast and bottle numbers are reported in the data table. Depth, temperature and salinity values of the seawater collected for the experiments reported in the data table are average</w:t>
      </w:r>
      <w:r w:rsidR="00D134ED">
        <w:t>d</w:t>
      </w:r>
      <w:r>
        <w:t xml:space="preserve"> </w:t>
      </w:r>
      <w:r w:rsidR="00D134ED">
        <w:t>from bottle summary files produced with Seabird software onboard ship and have not been corrected to salts.</w:t>
      </w:r>
      <w:r>
        <w:t xml:space="preserve"> </w:t>
      </w:r>
    </w:p>
    <w:p w14:paraId="0000000A" w14:textId="79E75943" w:rsidR="005E36B3" w:rsidRDefault="00F56B2F">
      <w:pPr>
        <w:pStyle w:val="Heading2"/>
      </w:pPr>
      <w:r>
        <w:lastRenderedPageBreak/>
        <w:t>Experimental set-up</w:t>
      </w:r>
    </w:p>
    <w:p w14:paraId="437FD450" w14:textId="6502B33E" w:rsidR="00F56B2F" w:rsidRPr="00F56B2F" w:rsidRDefault="00F56B2F" w:rsidP="00F56B2F">
      <w:pPr>
        <w:pBdr>
          <w:top w:val="nil"/>
          <w:left w:val="nil"/>
          <w:bottom w:val="nil"/>
          <w:right w:val="nil"/>
          <w:between w:val="nil"/>
        </w:pBdr>
        <w:spacing w:before="180" w:after="180"/>
        <w:rPr>
          <w:color w:val="000000"/>
        </w:rPr>
      </w:pPr>
      <w:r w:rsidRPr="00F56B2F">
        <w:rPr>
          <w:color w:val="000000"/>
        </w:rPr>
        <w:t xml:space="preserve">Rates of phytoplankton growth and </w:t>
      </w:r>
      <w:r w:rsidR="00590589">
        <w:rPr>
          <w:color w:val="000000"/>
        </w:rPr>
        <w:t xml:space="preserve">microzooplankton </w:t>
      </w:r>
      <w:r w:rsidRPr="00F56B2F">
        <w:rPr>
          <w:color w:val="000000"/>
        </w:rPr>
        <w:t>grazing were quantified using a 2-point modification of the dilution method (Morison &amp; Menden-</w:t>
      </w:r>
      <w:proofErr w:type="spellStart"/>
      <w:r w:rsidRPr="00F56B2F">
        <w:rPr>
          <w:color w:val="000000"/>
        </w:rPr>
        <w:t>Deuer</w:t>
      </w:r>
      <w:proofErr w:type="spellEnd"/>
      <w:r w:rsidRPr="00F56B2F">
        <w:rPr>
          <w:color w:val="000000"/>
        </w:rPr>
        <w:t xml:space="preserve">, 2017). </w:t>
      </w:r>
      <w:r w:rsidR="00E558C6">
        <w:rPr>
          <w:color w:val="000000"/>
        </w:rPr>
        <w:t>W</w:t>
      </w:r>
      <w:r w:rsidRPr="00F56B2F">
        <w:rPr>
          <w:color w:val="000000"/>
        </w:rPr>
        <w:t xml:space="preserve">hole seawater (WSW) was gently transferred from </w:t>
      </w:r>
      <w:r w:rsidR="00E558C6">
        <w:rPr>
          <w:color w:val="000000"/>
        </w:rPr>
        <w:t>a</w:t>
      </w:r>
      <w:r w:rsidRPr="00F56B2F">
        <w:rPr>
          <w:color w:val="000000"/>
        </w:rPr>
        <w:t xml:space="preserve"> </w:t>
      </w:r>
      <w:proofErr w:type="spellStart"/>
      <w:r w:rsidRPr="00F56B2F">
        <w:rPr>
          <w:color w:val="000000"/>
        </w:rPr>
        <w:t>Niskin</w:t>
      </w:r>
      <w:proofErr w:type="spellEnd"/>
      <w:r w:rsidRPr="00F56B2F">
        <w:rPr>
          <w:color w:val="000000"/>
        </w:rPr>
        <w:t xml:space="preserve"> to a 10 L polycarbonate carboy through a 200 µm mesh to remove </w:t>
      </w:r>
      <w:proofErr w:type="spellStart"/>
      <w:r w:rsidRPr="00F56B2F">
        <w:rPr>
          <w:color w:val="000000"/>
        </w:rPr>
        <w:t>mesozooplankton</w:t>
      </w:r>
      <w:proofErr w:type="spellEnd"/>
      <w:r w:rsidRPr="00F56B2F">
        <w:rPr>
          <w:color w:val="000000"/>
        </w:rPr>
        <w:t xml:space="preserve"> predators (e.g. copepods). Diluent was prepared by gravity filtration through a 0.2 </w:t>
      </w:r>
      <w:r w:rsidR="00A50331" w:rsidRPr="00F56B2F">
        <w:rPr>
          <w:color w:val="000000"/>
        </w:rPr>
        <w:t>µ</w:t>
      </w:r>
      <w:r w:rsidRPr="00F56B2F">
        <w:rPr>
          <w:color w:val="000000"/>
        </w:rPr>
        <w:t xml:space="preserve">m membrane filter capsule (PALL) from the </w:t>
      </w:r>
      <w:proofErr w:type="spellStart"/>
      <w:r w:rsidRPr="00F56B2F">
        <w:rPr>
          <w:color w:val="000000"/>
        </w:rPr>
        <w:t>Niskin</w:t>
      </w:r>
      <w:proofErr w:type="spellEnd"/>
      <w:r w:rsidRPr="00F56B2F">
        <w:rPr>
          <w:color w:val="000000"/>
        </w:rPr>
        <w:t xml:space="preserve"> to the carboys. The appropriate amount of WSW was added to the filtered water to obtain a 20</w:t>
      </w:r>
      <w:r w:rsidR="00590589">
        <w:rPr>
          <w:color w:val="000000"/>
        </w:rPr>
        <w:t xml:space="preserve"> percent</w:t>
      </w:r>
      <w:r w:rsidRPr="00F56B2F">
        <w:rPr>
          <w:color w:val="000000"/>
        </w:rPr>
        <w:t xml:space="preserve"> WSW dilution</w:t>
      </w:r>
      <w:r w:rsidR="00590589">
        <w:rPr>
          <w:color w:val="000000"/>
        </w:rPr>
        <w:t xml:space="preserve"> (20WSW)</w:t>
      </w:r>
      <w:r w:rsidRPr="00F56B2F">
        <w:rPr>
          <w:color w:val="000000"/>
        </w:rPr>
        <w:t xml:space="preserve">. The carboys were covered by black trash bags and gently mixed while water was siphoned into duplicate 1.2 L clear polycarbonate bottles. To ensure the gross growth rate of the phytoplankton was not dependent upon dilution, a central assumption of the dilution method (Landry </w:t>
      </w:r>
      <w:r w:rsidR="00590589">
        <w:rPr>
          <w:color w:val="000000"/>
        </w:rPr>
        <w:t>and</w:t>
      </w:r>
      <w:r w:rsidRPr="00F56B2F">
        <w:rPr>
          <w:color w:val="000000"/>
        </w:rPr>
        <w:t xml:space="preserve"> </w:t>
      </w:r>
      <w:proofErr w:type="spellStart"/>
      <w:r w:rsidRPr="00F56B2F">
        <w:rPr>
          <w:color w:val="000000"/>
        </w:rPr>
        <w:t>Hasset</w:t>
      </w:r>
      <w:proofErr w:type="spellEnd"/>
      <w:r w:rsidRPr="00F56B2F">
        <w:rPr>
          <w:color w:val="000000"/>
        </w:rPr>
        <w:t xml:space="preserve">, 1982), incubation bottles were amended with macronutrients (10 </w:t>
      </w:r>
      <w:r w:rsidR="00A50331" w:rsidRPr="00F56B2F">
        <w:rPr>
          <w:color w:val="000000"/>
        </w:rPr>
        <w:t>µ</w:t>
      </w:r>
      <w:r w:rsidRPr="00F56B2F">
        <w:rPr>
          <w:color w:val="000000"/>
        </w:rPr>
        <w:t xml:space="preserve">M SiO4, 10 </w:t>
      </w:r>
      <w:r w:rsidR="00A50331" w:rsidRPr="00F56B2F">
        <w:rPr>
          <w:color w:val="000000"/>
        </w:rPr>
        <w:t>µ</w:t>
      </w:r>
      <w:r w:rsidRPr="00F56B2F">
        <w:rPr>
          <w:color w:val="000000"/>
        </w:rPr>
        <w:t xml:space="preserve">M NO3, 1 </w:t>
      </w:r>
      <w:r w:rsidR="00A50331" w:rsidRPr="00F56B2F">
        <w:rPr>
          <w:color w:val="000000"/>
        </w:rPr>
        <w:t>µ</w:t>
      </w:r>
      <w:r w:rsidRPr="00F56B2F">
        <w:rPr>
          <w:color w:val="000000"/>
        </w:rPr>
        <w:t>M PO4). An additional set of WSW bottles without additional nutrients was added to assess nutrient limitation or toxicity effects. For each dilution (20WSW and WSW), nutrient (nutrient amended and without nutrient) and light (high and low light, see below) treatment, incubation bottles were duplicate</w:t>
      </w:r>
      <w:r w:rsidR="00E558C6">
        <w:rPr>
          <w:color w:val="000000"/>
        </w:rPr>
        <w:t>d</w:t>
      </w:r>
      <w:r w:rsidRPr="00F56B2F">
        <w:rPr>
          <w:color w:val="000000"/>
        </w:rPr>
        <w:t xml:space="preserve">. </w:t>
      </w:r>
    </w:p>
    <w:p w14:paraId="1A00CDA5" w14:textId="253DDDC4" w:rsidR="00F56B2F" w:rsidRPr="00F56B2F" w:rsidRDefault="00F56B2F" w:rsidP="00F56B2F">
      <w:pPr>
        <w:pBdr>
          <w:top w:val="nil"/>
          <w:left w:val="nil"/>
          <w:bottom w:val="nil"/>
          <w:right w:val="nil"/>
          <w:between w:val="nil"/>
        </w:pBdr>
        <w:spacing w:before="180" w:after="180"/>
        <w:rPr>
          <w:color w:val="000000"/>
        </w:rPr>
      </w:pPr>
      <w:r w:rsidRPr="00F56B2F">
        <w:rPr>
          <w:color w:val="000000"/>
        </w:rPr>
        <w:t>Bottles were incubated for 24 h in a clear deck-board, flow through, 1 m</w:t>
      </w:r>
      <w:r w:rsidR="00A50331">
        <w:rPr>
          <w:color w:val="000000"/>
        </w:rPr>
        <w:t>^</w:t>
      </w:r>
      <w:r w:rsidRPr="00F56B2F">
        <w:rPr>
          <w:color w:val="000000"/>
        </w:rPr>
        <w:t xml:space="preserve">3, incubator. Surface water was incubated at two light-levels that simulated the </w:t>
      </w:r>
      <w:r w:rsidR="00E558C6">
        <w:rPr>
          <w:color w:val="000000"/>
        </w:rPr>
        <w:t>contrasting</w:t>
      </w:r>
      <w:r w:rsidRPr="00F56B2F">
        <w:rPr>
          <w:color w:val="000000"/>
        </w:rPr>
        <w:t xml:space="preserve"> light conditions (e.g. sunny/cloudy weather, well-mixed/stratified water column) under which phytoplankton </w:t>
      </w:r>
      <w:r w:rsidR="00E558C6">
        <w:rPr>
          <w:color w:val="000000"/>
        </w:rPr>
        <w:t xml:space="preserve">could be </w:t>
      </w:r>
      <w:r w:rsidRPr="00F56B2F">
        <w:rPr>
          <w:color w:val="000000"/>
        </w:rPr>
        <w:t>grow</w:t>
      </w:r>
      <w:r w:rsidR="00E558C6">
        <w:rPr>
          <w:color w:val="000000"/>
        </w:rPr>
        <w:t>ing</w:t>
      </w:r>
      <w:r w:rsidRPr="00F56B2F">
        <w:rPr>
          <w:color w:val="000000"/>
        </w:rPr>
        <w:t xml:space="preserve"> in </w:t>
      </w:r>
      <w:r w:rsidR="00E558C6">
        <w:rPr>
          <w:color w:val="000000"/>
        </w:rPr>
        <w:t>the surface ocean</w:t>
      </w:r>
      <w:r w:rsidRPr="00F56B2F">
        <w:rPr>
          <w:color w:val="000000"/>
        </w:rPr>
        <w:t>. Mesh, screen, bags were used to create High Light (HL) and Low Light (LL) treatments that simulated 65</w:t>
      </w:r>
      <w:r w:rsidR="00590589">
        <w:rPr>
          <w:color w:val="000000"/>
        </w:rPr>
        <w:t xml:space="preserve"> percent</w:t>
      </w:r>
      <w:r w:rsidRPr="00F56B2F">
        <w:rPr>
          <w:color w:val="000000"/>
        </w:rPr>
        <w:t xml:space="preserve"> and 15</w:t>
      </w:r>
      <w:r w:rsidR="00590589">
        <w:rPr>
          <w:color w:val="000000"/>
        </w:rPr>
        <w:t xml:space="preserve"> percent</w:t>
      </w:r>
      <w:r w:rsidRPr="00F56B2F">
        <w:rPr>
          <w:color w:val="000000"/>
        </w:rPr>
        <w:t xml:space="preserve"> of light attenuation. The incubator was free of overhead obstructions to avoid shading during the day and covered </w:t>
      </w:r>
      <w:r w:rsidR="00A50331">
        <w:rPr>
          <w:color w:val="000000"/>
        </w:rPr>
        <w:t>by a</w:t>
      </w:r>
      <w:r w:rsidRPr="00F56B2F">
        <w:rPr>
          <w:color w:val="000000"/>
        </w:rPr>
        <w:t xml:space="preserve"> tarp at night to minimize light pollution from deck lighting. Natural movement of the ship kept the bottles in the incubator agitated over the incubation period. Temperature within the incubators was maintained equivalent to current surface temperature through continuous flow-through from the ship seawater system. Temperature </w:t>
      </w:r>
      <w:r w:rsidR="00CF170A">
        <w:rPr>
          <w:color w:val="000000"/>
        </w:rPr>
        <w:t xml:space="preserve">and light in the incubators </w:t>
      </w:r>
      <w:r w:rsidRPr="00F56B2F">
        <w:rPr>
          <w:color w:val="000000"/>
        </w:rPr>
        <w:t>w</w:t>
      </w:r>
      <w:r w:rsidR="00CF170A">
        <w:rPr>
          <w:color w:val="000000"/>
        </w:rPr>
        <w:t>ere</w:t>
      </w:r>
      <w:r w:rsidRPr="00F56B2F">
        <w:rPr>
          <w:color w:val="000000"/>
        </w:rPr>
        <w:t xml:space="preserve"> monitored at 5-minute intervals with a Hobo </w:t>
      </w:r>
      <w:r w:rsidR="00E558C6">
        <w:rPr>
          <w:color w:val="000000"/>
        </w:rPr>
        <w:t xml:space="preserve">(Onset) </w:t>
      </w:r>
      <w:r w:rsidRPr="00F56B2F">
        <w:rPr>
          <w:color w:val="000000"/>
        </w:rPr>
        <w:t xml:space="preserve">data logger. </w:t>
      </w:r>
      <w:r w:rsidR="00CF170A">
        <w:rPr>
          <w:color w:val="000000"/>
        </w:rPr>
        <w:t xml:space="preserve">Temperature and light measurements recorded during each of the incubation experiments are available </w:t>
      </w:r>
      <w:r w:rsidR="00D92141">
        <w:rPr>
          <w:color w:val="000000"/>
        </w:rPr>
        <w:t>in .csv files f</w:t>
      </w:r>
      <w:r w:rsidR="00E558C6">
        <w:rPr>
          <w:color w:val="000000"/>
        </w:rPr>
        <w:t>ollowing</w:t>
      </w:r>
      <w:r w:rsidR="00D92141">
        <w:rPr>
          <w:color w:val="000000"/>
        </w:rPr>
        <w:t xml:space="preserve"> the links present in the last column of the data table. </w:t>
      </w:r>
    </w:p>
    <w:p w14:paraId="0000000F" w14:textId="6E260E44" w:rsidR="005E36B3" w:rsidRDefault="00F56B2F">
      <w:pPr>
        <w:pStyle w:val="Heading2"/>
      </w:pPr>
      <w:bookmarkStart w:id="0" w:name="bookmark=id.30j0zll" w:colFirst="0" w:colLast="0"/>
      <w:bookmarkEnd w:id="0"/>
      <w:r>
        <w:t>Phytoplan</w:t>
      </w:r>
      <w:r w:rsidR="00A50331">
        <w:t>kt</w:t>
      </w:r>
      <w:r>
        <w:t xml:space="preserve">on </w:t>
      </w:r>
      <w:r w:rsidR="00E558C6">
        <w:t>g</w:t>
      </w:r>
      <w:r>
        <w:t>rowth and protist grazing rate estimates</w:t>
      </w:r>
    </w:p>
    <w:p w14:paraId="7CDE179D" w14:textId="5D827DFD" w:rsidR="00A50331" w:rsidRDefault="00A50331" w:rsidP="00A50331">
      <w:pPr>
        <w:pBdr>
          <w:top w:val="nil"/>
          <w:left w:val="nil"/>
          <w:bottom w:val="nil"/>
          <w:right w:val="nil"/>
          <w:between w:val="nil"/>
        </w:pBdr>
        <w:spacing w:before="180" w:after="180"/>
        <w:rPr>
          <w:color w:val="000000"/>
        </w:rPr>
      </w:pPr>
      <w:r w:rsidRPr="00A50331">
        <w:rPr>
          <w:color w:val="000000"/>
        </w:rPr>
        <w:t>Initial (T0) chlorophyll-a (</w:t>
      </w:r>
      <w:proofErr w:type="spellStart"/>
      <w:r w:rsidRPr="00A50331">
        <w:rPr>
          <w:color w:val="000000"/>
        </w:rPr>
        <w:t>Chl</w:t>
      </w:r>
      <w:proofErr w:type="spellEnd"/>
      <w:r w:rsidRPr="00A50331">
        <w:rPr>
          <w:color w:val="000000"/>
        </w:rPr>
        <w:t xml:space="preserve">-a) concentration was determined from triplicate 120-150 mL subsamples from carboys used to fill incubation bottles. Final </w:t>
      </w:r>
      <w:proofErr w:type="spellStart"/>
      <w:r w:rsidRPr="00A50331">
        <w:rPr>
          <w:color w:val="000000"/>
        </w:rPr>
        <w:t>Chl</w:t>
      </w:r>
      <w:proofErr w:type="spellEnd"/>
      <w:r w:rsidRPr="00A50331">
        <w:rPr>
          <w:color w:val="000000"/>
        </w:rPr>
        <w:t xml:space="preserve">-a concentration (TF) was determined from triplicate 120-150 mL subsamples from bottles at the end of the incubation. The extraction method followed Graff and Rynearson (2011) except here we used 95 percent ethanol as a solvent (Jespersen and </w:t>
      </w:r>
      <w:proofErr w:type="spellStart"/>
      <w:r w:rsidRPr="00A50331">
        <w:rPr>
          <w:color w:val="000000"/>
        </w:rPr>
        <w:t>Christoffersen</w:t>
      </w:r>
      <w:proofErr w:type="spellEnd"/>
      <w:r w:rsidRPr="00A50331">
        <w:rPr>
          <w:color w:val="000000"/>
        </w:rPr>
        <w:t xml:space="preserve">, 1987). Extracted </w:t>
      </w:r>
      <w:proofErr w:type="spellStart"/>
      <w:r w:rsidRPr="00A50331">
        <w:rPr>
          <w:color w:val="000000"/>
        </w:rPr>
        <w:t>Chl</w:t>
      </w:r>
      <w:proofErr w:type="spellEnd"/>
      <w:r w:rsidRPr="00A50331">
        <w:rPr>
          <w:color w:val="000000"/>
        </w:rPr>
        <w:t xml:space="preserve">-a concentration was determined using a Turner AU10 fluorometer after a 12 h extraction period. In addition, the size structure of the initial phytoplankton community was characterized from T0 triplicate size-fractionated </w:t>
      </w:r>
      <w:proofErr w:type="spellStart"/>
      <w:r w:rsidRPr="00A50331">
        <w:rPr>
          <w:color w:val="000000"/>
        </w:rPr>
        <w:t>Chl</w:t>
      </w:r>
      <w:proofErr w:type="spellEnd"/>
      <w:r w:rsidRPr="00A50331">
        <w:rPr>
          <w:color w:val="000000"/>
        </w:rPr>
        <w:t xml:space="preserve">-a samples (greater than 0.7 µm GF/F, greater than 5 µm, greater than 10 µm, and greater than 20 µm). At TF, size-fractionated </w:t>
      </w:r>
      <w:proofErr w:type="spellStart"/>
      <w:r w:rsidRPr="00A50331">
        <w:rPr>
          <w:color w:val="000000"/>
        </w:rPr>
        <w:t>Chl</w:t>
      </w:r>
      <w:proofErr w:type="spellEnd"/>
      <w:r w:rsidRPr="00A50331">
        <w:rPr>
          <w:color w:val="000000"/>
        </w:rPr>
        <w:t xml:space="preserve">-a concentration at 10 µm were also measured for 20WSW and WSW nutrient amended </w:t>
      </w:r>
      <w:r w:rsidRPr="00A50331">
        <w:rPr>
          <w:color w:val="000000"/>
        </w:rPr>
        <w:lastRenderedPageBreak/>
        <w:t xml:space="preserve">bottles. During the first winter cruise in 2018 (EN608) size fractionation was only performed on bottles incubated under high light conditions. </w:t>
      </w:r>
      <w:r>
        <w:rPr>
          <w:color w:val="000000"/>
        </w:rPr>
        <w:t xml:space="preserve"> </w:t>
      </w:r>
    </w:p>
    <w:p w14:paraId="2FA269BE" w14:textId="6FF7D50E" w:rsidR="00F56B2F" w:rsidRPr="00F56B2F" w:rsidRDefault="00F56B2F" w:rsidP="00F56B2F">
      <w:pPr>
        <w:pBdr>
          <w:top w:val="nil"/>
          <w:left w:val="nil"/>
          <w:bottom w:val="nil"/>
          <w:right w:val="nil"/>
          <w:between w:val="nil"/>
        </w:pBdr>
        <w:spacing w:before="180" w:after="180"/>
        <w:rPr>
          <w:color w:val="000000"/>
        </w:rPr>
      </w:pPr>
      <w:r w:rsidRPr="00F56B2F">
        <w:rPr>
          <w:color w:val="000000"/>
        </w:rPr>
        <w:t xml:space="preserve">Phytoplankton growth rates and protist grazing rates were estimated from 24 h changes in </w:t>
      </w:r>
      <w:proofErr w:type="spellStart"/>
      <w:r w:rsidRPr="00F56B2F">
        <w:rPr>
          <w:color w:val="000000"/>
        </w:rPr>
        <w:t>Chl</w:t>
      </w:r>
      <w:proofErr w:type="spellEnd"/>
      <w:r w:rsidRPr="00F56B2F">
        <w:rPr>
          <w:color w:val="000000"/>
        </w:rPr>
        <w:t>-a concentration. For each incubation bottle, the apparent growth rates (k, d</w:t>
      </w:r>
      <w:r w:rsidR="00A50331">
        <w:rPr>
          <w:color w:val="000000"/>
        </w:rPr>
        <w:t>^</w:t>
      </w:r>
      <w:r w:rsidRPr="00F56B2F">
        <w:rPr>
          <w:color w:val="000000"/>
        </w:rPr>
        <w:t>-1) w</w:t>
      </w:r>
      <w:r w:rsidR="00A50331">
        <w:rPr>
          <w:color w:val="000000"/>
        </w:rPr>
        <w:t>ere</w:t>
      </w:r>
      <w:r w:rsidRPr="00F56B2F">
        <w:rPr>
          <w:color w:val="000000"/>
        </w:rPr>
        <w:t xml:space="preserve"> calculated as:</w:t>
      </w:r>
    </w:p>
    <w:p w14:paraId="04BF6BF4" w14:textId="77777777" w:rsidR="00F56B2F" w:rsidRPr="00F56B2F" w:rsidRDefault="00F56B2F" w:rsidP="00F56B2F">
      <w:pPr>
        <w:pBdr>
          <w:top w:val="nil"/>
          <w:left w:val="nil"/>
          <w:bottom w:val="nil"/>
          <w:right w:val="nil"/>
          <w:between w:val="nil"/>
        </w:pBdr>
        <w:spacing w:before="180" w:after="180"/>
        <w:rPr>
          <w:color w:val="000000"/>
        </w:rPr>
      </w:pPr>
      <w:r w:rsidRPr="00F56B2F">
        <w:rPr>
          <w:color w:val="000000"/>
        </w:rPr>
        <w:t>k=1⁄t×</w:t>
      </w:r>
      <w:proofErr w:type="gramStart"/>
      <w:r w:rsidRPr="00F56B2F">
        <w:rPr>
          <w:color w:val="000000"/>
        </w:rPr>
        <w:t>ln(</w:t>
      </w:r>
      <w:proofErr w:type="gramEnd"/>
      <w:r w:rsidRPr="00F56B2F">
        <w:rPr>
          <w:color w:val="000000"/>
        </w:rPr>
        <w:t>C_t⁄C_0 )</w:t>
      </w:r>
    </w:p>
    <w:p w14:paraId="3E9D1F85" w14:textId="03585D16" w:rsidR="00F56B2F" w:rsidRPr="00F56B2F" w:rsidRDefault="00F56B2F" w:rsidP="00F56B2F">
      <w:pPr>
        <w:pBdr>
          <w:top w:val="nil"/>
          <w:left w:val="nil"/>
          <w:bottom w:val="nil"/>
          <w:right w:val="nil"/>
          <w:between w:val="nil"/>
        </w:pBdr>
        <w:spacing w:before="180" w:after="180"/>
        <w:rPr>
          <w:color w:val="000000"/>
        </w:rPr>
      </w:pPr>
      <w:r w:rsidRPr="00F56B2F">
        <w:rPr>
          <w:color w:val="000000"/>
        </w:rPr>
        <w:t xml:space="preserve">where </w:t>
      </w:r>
      <w:proofErr w:type="spellStart"/>
      <w:r w:rsidRPr="00F56B2F">
        <w:rPr>
          <w:color w:val="000000"/>
        </w:rPr>
        <w:t>t</w:t>
      </w:r>
      <w:proofErr w:type="spellEnd"/>
      <w:r w:rsidRPr="00F56B2F">
        <w:rPr>
          <w:color w:val="000000"/>
        </w:rPr>
        <w:t xml:space="preserve"> is the incubation time (d) and </w:t>
      </w:r>
      <w:proofErr w:type="spellStart"/>
      <w:r w:rsidRPr="00F56B2F">
        <w:rPr>
          <w:color w:val="000000"/>
        </w:rPr>
        <w:t>C</w:t>
      </w:r>
      <w:r w:rsidR="00590589">
        <w:rPr>
          <w:color w:val="000000"/>
        </w:rPr>
        <w:t>_</w:t>
      </w:r>
      <w:r w:rsidRPr="00F56B2F">
        <w:rPr>
          <w:color w:val="000000"/>
        </w:rPr>
        <w:t>t</w:t>
      </w:r>
      <w:proofErr w:type="spellEnd"/>
      <w:r w:rsidRPr="00F56B2F">
        <w:rPr>
          <w:color w:val="000000"/>
        </w:rPr>
        <w:t xml:space="preserve"> and C</w:t>
      </w:r>
      <w:r w:rsidR="00590589">
        <w:rPr>
          <w:color w:val="000000"/>
        </w:rPr>
        <w:t>_</w:t>
      </w:r>
      <w:r w:rsidRPr="00F56B2F">
        <w:rPr>
          <w:color w:val="000000"/>
        </w:rPr>
        <w:t xml:space="preserve">0 the final and initial </w:t>
      </w:r>
      <w:proofErr w:type="spellStart"/>
      <w:r w:rsidRPr="00F56B2F">
        <w:rPr>
          <w:color w:val="000000"/>
        </w:rPr>
        <w:t>Chl</w:t>
      </w:r>
      <w:proofErr w:type="spellEnd"/>
      <w:r w:rsidRPr="00F56B2F">
        <w:rPr>
          <w:color w:val="000000"/>
        </w:rPr>
        <w:t>-a concentration (</w:t>
      </w:r>
      <w:r w:rsidR="00A50331">
        <w:rPr>
          <w:color w:val="000000"/>
        </w:rPr>
        <w:t>µ</w:t>
      </w:r>
      <w:r w:rsidRPr="00F56B2F">
        <w:rPr>
          <w:color w:val="000000"/>
        </w:rPr>
        <w:t>g L</w:t>
      </w:r>
      <w:r w:rsidR="00A50331">
        <w:rPr>
          <w:color w:val="000000"/>
        </w:rPr>
        <w:t>^</w:t>
      </w:r>
      <w:r w:rsidRPr="00F56B2F">
        <w:rPr>
          <w:color w:val="000000"/>
        </w:rPr>
        <w:t>-1), respectively.</w:t>
      </w:r>
    </w:p>
    <w:p w14:paraId="2CCF0DC8" w14:textId="11B56B0A" w:rsidR="00F56B2F" w:rsidRPr="00F56B2F" w:rsidRDefault="00F56B2F" w:rsidP="00F56B2F">
      <w:pPr>
        <w:pBdr>
          <w:top w:val="nil"/>
          <w:left w:val="nil"/>
          <w:bottom w:val="nil"/>
          <w:right w:val="nil"/>
          <w:between w:val="nil"/>
        </w:pBdr>
        <w:spacing w:before="180" w:after="180"/>
        <w:rPr>
          <w:color w:val="000000"/>
        </w:rPr>
      </w:pPr>
      <w:r w:rsidRPr="00F56B2F">
        <w:rPr>
          <w:color w:val="000000"/>
        </w:rPr>
        <w:t>Protist grazing rates (g, d</w:t>
      </w:r>
      <w:r w:rsidR="00A50331">
        <w:rPr>
          <w:color w:val="000000"/>
        </w:rPr>
        <w:t>^</w:t>
      </w:r>
      <w:r w:rsidRPr="00F56B2F">
        <w:rPr>
          <w:color w:val="000000"/>
        </w:rPr>
        <w:t>-1) were estimated with the equation:</w:t>
      </w:r>
    </w:p>
    <w:p w14:paraId="1E506AAE" w14:textId="77777777" w:rsidR="00F56B2F" w:rsidRPr="00F56B2F" w:rsidRDefault="00F56B2F" w:rsidP="00F56B2F">
      <w:pPr>
        <w:pBdr>
          <w:top w:val="nil"/>
          <w:left w:val="nil"/>
          <w:bottom w:val="nil"/>
          <w:right w:val="nil"/>
          <w:between w:val="nil"/>
        </w:pBdr>
        <w:spacing w:before="180" w:after="180"/>
        <w:rPr>
          <w:color w:val="000000"/>
        </w:rPr>
      </w:pPr>
      <w:r w:rsidRPr="00F56B2F">
        <w:rPr>
          <w:color w:val="000000"/>
        </w:rPr>
        <w:t>g</w:t>
      </w:r>
      <w:proofErr w:type="gramStart"/>
      <w:r w:rsidRPr="00F56B2F">
        <w:rPr>
          <w:color w:val="000000"/>
        </w:rPr>
        <w:t>=(</w:t>
      </w:r>
      <w:proofErr w:type="gramEnd"/>
      <w:r w:rsidRPr="00F56B2F">
        <w:rPr>
          <w:color w:val="000000"/>
        </w:rPr>
        <w:t>(</w:t>
      </w:r>
      <w:proofErr w:type="spellStart"/>
      <w:r w:rsidRPr="00F56B2F">
        <w:rPr>
          <w:color w:val="000000"/>
        </w:rPr>
        <w:t>k_d-k_N</w:t>
      </w:r>
      <w:proofErr w:type="spellEnd"/>
      <w:r w:rsidRPr="00F56B2F">
        <w:rPr>
          <w:color w:val="000000"/>
        </w:rPr>
        <w:t xml:space="preserve"> ))⁄((1-x))</w:t>
      </w:r>
    </w:p>
    <w:p w14:paraId="0E195175" w14:textId="32079A4D" w:rsidR="00F56B2F" w:rsidRPr="00F56B2F" w:rsidRDefault="00F56B2F" w:rsidP="00F56B2F">
      <w:pPr>
        <w:pBdr>
          <w:top w:val="nil"/>
          <w:left w:val="nil"/>
          <w:bottom w:val="nil"/>
          <w:right w:val="nil"/>
          <w:between w:val="nil"/>
        </w:pBdr>
        <w:spacing w:before="180" w:after="180"/>
        <w:rPr>
          <w:color w:val="000000"/>
        </w:rPr>
      </w:pPr>
      <w:r w:rsidRPr="00F56B2F">
        <w:rPr>
          <w:color w:val="000000"/>
        </w:rPr>
        <w:t xml:space="preserve">where </w:t>
      </w:r>
      <w:proofErr w:type="spellStart"/>
      <w:r w:rsidRPr="00F56B2F">
        <w:rPr>
          <w:color w:val="000000"/>
        </w:rPr>
        <w:t>k</w:t>
      </w:r>
      <w:r w:rsidR="00590589">
        <w:rPr>
          <w:color w:val="000000"/>
        </w:rPr>
        <w:t>_</w:t>
      </w:r>
      <w:r w:rsidRPr="00F56B2F">
        <w:rPr>
          <w:color w:val="000000"/>
        </w:rPr>
        <w:t>d</w:t>
      </w:r>
      <w:proofErr w:type="spellEnd"/>
      <w:r w:rsidRPr="00F56B2F">
        <w:rPr>
          <w:color w:val="000000"/>
        </w:rPr>
        <w:t xml:space="preserve"> and </w:t>
      </w:r>
      <w:proofErr w:type="spellStart"/>
      <w:r w:rsidRPr="00F56B2F">
        <w:rPr>
          <w:color w:val="000000"/>
        </w:rPr>
        <w:t>k</w:t>
      </w:r>
      <w:r w:rsidR="00590589">
        <w:rPr>
          <w:color w:val="000000"/>
        </w:rPr>
        <w:t>_</w:t>
      </w:r>
      <w:r w:rsidRPr="00F56B2F">
        <w:rPr>
          <w:color w:val="000000"/>
        </w:rPr>
        <w:t>N</w:t>
      </w:r>
      <w:proofErr w:type="spellEnd"/>
      <w:r w:rsidRPr="00F56B2F">
        <w:rPr>
          <w:color w:val="000000"/>
        </w:rPr>
        <w:t xml:space="preserve"> are the apparent growth rates in 20WSW and WSW nutrient amended treatments, respectively, and x is the achieved fraction of WSW in the diluted treatment calculated from T0 </w:t>
      </w:r>
      <w:proofErr w:type="spellStart"/>
      <w:r w:rsidRPr="00F56B2F">
        <w:rPr>
          <w:color w:val="000000"/>
        </w:rPr>
        <w:t>Chl</w:t>
      </w:r>
      <w:proofErr w:type="spellEnd"/>
      <w:r w:rsidRPr="00F56B2F">
        <w:rPr>
          <w:color w:val="000000"/>
        </w:rPr>
        <w:t>-a in 20WSW and WSW (Landry et al., 1984). Accordingly, the instantaneous, or in situ, growth rate (</w:t>
      </w:r>
      <w:r w:rsidR="00590589">
        <w:rPr>
          <w:color w:val="000000"/>
        </w:rPr>
        <w:t>mu_</w:t>
      </w:r>
      <w:r w:rsidRPr="00F56B2F">
        <w:rPr>
          <w:color w:val="000000"/>
        </w:rPr>
        <w:t>0, d</w:t>
      </w:r>
      <w:r w:rsidR="007B1CC8">
        <w:rPr>
          <w:color w:val="000000"/>
        </w:rPr>
        <w:t>^</w:t>
      </w:r>
      <w:r w:rsidRPr="00F56B2F">
        <w:rPr>
          <w:color w:val="000000"/>
        </w:rPr>
        <w:t>-1) was estimated as in (Landry et al., 2008):</w:t>
      </w:r>
    </w:p>
    <w:p w14:paraId="7C56AA7A" w14:textId="1457EA03" w:rsidR="00F56B2F" w:rsidRPr="00F56B2F" w:rsidRDefault="00A50331" w:rsidP="00F56B2F">
      <w:pPr>
        <w:pBdr>
          <w:top w:val="nil"/>
          <w:left w:val="nil"/>
          <w:bottom w:val="nil"/>
          <w:right w:val="nil"/>
          <w:between w:val="nil"/>
        </w:pBdr>
        <w:spacing w:before="180" w:after="180"/>
        <w:rPr>
          <w:color w:val="000000"/>
        </w:rPr>
      </w:pPr>
      <w:r>
        <w:rPr>
          <w:color w:val="000000"/>
        </w:rPr>
        <w:t>mu</w:t>
      </w:r>
      <w:r w:rsidR="00F56B2F" w:rsidRPr="00F56B2F">
        <w:rPr>
          <w:color w:val="000000"/>
        </w:rPr>
        <w:t>_0=</w:t>
      </w:r>
      <w:proofErr w:type="spellStart"/>
      <w:r w:rsidR="00F56B2F" w:rsidRPr="00F56B2F">
        <w:rPr>
          <w:color w:val="000000"/>
        </w:rPr>
        <w:t>g+k_NoN</w:t>
      </w:r>
      <w:proofErr w:type="spellEnd"/>
    </w:p>
    <w:p w14:paraId="23D6F445" w14:textId="4528490A" w:rsidR="00F56B2F" w:rsidRPr="00F56B2F" w:rsidRDefault="00F56B2F" w:rsidP="00F56B2F">
      <w:pPr>
        <w:pBdr>
          <w:top w:val="nil"/>
          <w:left w:val="nil"/>
          <w:bottom w:val="nil"/>
          <w:right w:val="nil"/>
          <w:between w:val="nil"/>
        </w:pBdr>
        <w:spacing w:before="180" w:after="180"/>
        <w:rPr>
          <w:color w:val="000000"/>
        </w:rPr>
      </w:pPr>
      <w:r w:rsidRPr="00F56B2F">
        <w:rPr>
          <w:color w:val="000000"/>
        </w:rPr>
        <w:t xml:space="preserve">where </w:t>
      </w:r>
      <w:proofErr w:type="spellStart"/>
      <w:r w:rsidRPr="00F56B2F">
        <w:rPr>
          <w:color w:val="000000"/>
        </w:rPr>
        <w:t>k</w:t>
      </w:r>
      <w:r w:rsidR="00590589">
        <w:rPr>
          <w:color w:val="000000"/>
        </w:rPr>
        <w:t>_</w:t>
      </w:r>
      <w:r w:rsidRPr="00F56B2F">
        <w:rPr>
          <w:color w:val="000000"/>
        </w:rPr>
        <w:t>NoN</w:t>
      </w:r>
      <w:proofErr w:type="spellEnd"/>
      <w:r w:rsidRPr="00F56B2F">
        <w:rPr>
          <w:color w:val="000000"/>
        </w:rPr>
        <w:t xml:space="preserve"> is apparent phytoplankton growth rate k without nutrient addition.</w:t>
      </w:r>
    </w:p>
    <w:p w14:paraId="0865CEEA" w14:textId="0E92FA80" w:rsidR="00F56B2F" w:rsidRPr="00F56B2F" w:rsidRDefault="00F56B2F" w:rsidP="00F56B2F">
      <w:pPr>
        <w:pBdr>
          <w:top w:val="nil"/>
          <w:left w:val="nil"/>
          <w:bottom w:val="nil"/>
          <w:right w:val="nil"/>
          <w:between w:val="nil"/>
        </w:pBdr>
        <w:spacing w:before="180" w:after="180"/>
        <w:rPr>
          <w:color w:val="000000"/>
        </w:rPr>
      </w:pPr>
      <w:r w:rsidRPr="00F56B2F">
        <w:rPr>
          <w:color w:val="000000"/>
        </w:rPr>
        <w:t>The potential for nutrient limitation was assessed by comparing apparent phytoplankton growth rates k in nutrient amended (</w:t>
      </w:r>
      <w:proofErr w:type="spellStart"/>
      <w:r w:rsidRPr="00F56B2F">
        <w:rPr>
          <w:color w:val="000000"/>
        </w:rPr>
        <w:t>k</w:t>
      </w:r>
      <w:r w:rsidR="00590589">
        <w:rPr>
          <w:color w:val="000000"/>
        </w:rPr>
        <w:t>_</w:t>
      </w:r>
      <w:r w:rsidRPr="00F56B2F">
        <w:rPr>
          <w:color w:val="000000"/>
        </w:rPr>
        <w:t>N</w:t>
      </w:r>
      <w:proofErr w:type="spellEnd"/>
      <w:r w:rsidRPr="00F56B2F">
        <w:rPr>
          <w:color w:val="000000"/>
        </w:rPr>
        <w:t>) and nonamended (</w:t>
      </w:r>
      <w:proofErr w:type="spellStart"/>
      <w:r w:rsidRPr="00F56B2F">
        <w:rPr>
          <w:color w:val="000000"/>
        </w:rPr>
        <w:t>k</w:t>
      </w:r>
      <w:r w:rsidR="00590589">
        <w:rPr>
          <w:color w:val="000000"/>
        </w:rPr>
        <w:t>_</w:t>
      </w:r>
      <w:r w:rsidRPr="00F56B2F">
        <w:rPr>
          <w:color w:val="000000"/>
        </w:rPr>
        <w:t>NoN</w:t>
      </w:r>
      <w:proofErr w:type="spellEnd"/>
      <w:r w:rsidRPr="00F56B2F">
        <w:rPr>
          <w:color w:val="000000"/>
        </w:rPr>
        <w:t xml:space="preserve">) replicates using a paired t-test. If a significant difference was found (p </w:t>
      </w:r>
      <w:r w:rsidR="00590589">
        <w:rPr>
          <w:color w:val="000000"/>
        </w:rPr>
        <w:t>below</w:t>
      </w:r>
      <w:r w:rsidRPr="00F56B2F">
        <w:rPr>
          <w:color w:val="000000"/>
        </w:rPr>
        <w:t xml:space="preserve"> 0.05) between </w:t>
      </w:r>
      <w:proofErr w:type="spellStart"/>
      <w:r w:rsidRPr="00F56B2F">
        <w:rPr>
          <w:color w:val="000000"/>
        </w:rPr>
        <w:t>k</w:t>
      </w:r>
      <w:r w:rsidR="00590589">
        <w:rPr>
          <w:color w:val="000000"/>
        </w:rPr>
        <w:t>_</w:t>
      </w:r>
      <w:r w:rsidRPr="00F56B2F">
        <w:rPr>
          <w:color w:val="000000"/>
        </w:rPr>
        <w:t>N</w:t>
      </w:r>
      <w:proofErr w:type="spellEnd"/>
      <w:r w:rsidRPr="00F56B2F">
        <w:rPr>
          <w:color w:val="000000"/>
        </w:rPr>
        <w:t xml:space="preserve"> and </w:t>
      </w:r>
      <w:proofErr w:type="spellStart"/>
      <w:r w:rsidRPr="00F56B2F">
        <w:rPr>
          <w:color w:val="000000"/>
        </w:rPr>
        <w:t>k</w:t>
      </w:r>
      <w:r w:rsidR="00590589">
        <w:rPr>
          <w:color w:val="000000"/>
        </w:rPr>
        <w:t>_</w:t>
      </w:r>
      <w:r w:rsidRPr="00F56B2F">
        <w:rPr>
          <w:color w:val="000000"/>
        </w:rPr>
        <w:t>NoN</w:t>
      </w:r>
      <w:proofErr w:type="spellEnd"/>
      <w:r w:rsidRPr="00F56B2F">
        <w:rPr>
          <w:color w:val="000000"/>
        </w:rPr>
        <w:t>, nutrient-amended growth rates (</w:t>
      </w:r>
      <w:proofErr w:type="spellStart"/>
      <w:r w:rsidR="00590589">
        <w:rPr>
          <w:color w:val="000000"/>
        </w:rPr>
        <w:t>mu_</w:t>
      </w:r>
      <w:r w:rsidRPr="00F56B2F">
        <w:rPr>
          <w:color w:val="000000"/>
        </w:rPr>
        <w:t>N</w:t>
      </w:r>
      <w:proofErr w:type="spellEnd"/>
      <w:r w:rsidRPr="00F56B2F">
        <w:rPr>
          <w:color w:val="000000"/>
        </w:rPr>
        <w:t>, d</w:t>
      </w:r>
      <w:r w:rsidR="007B1CC8">
        <w:rPr>
          <w:color w:val="000000"/>
        </w:rPr>
        <w:t>^</w:t>
      </w:r>
      <w:r w:rsidRPr="00F56B2F">
        <w:rPr>
          <w:color w:val="000000"/>
        </w:rPr>
        <w:t xml:space="preserve">-1) were also calculated as </w:t>
      </w:r>
      <w:proofErr w:type="spellStart"/>
      <w:r w:rsidR="00590589">
        <w:rPr>
          <w:color w:val="000000"/>
        </w:rPr>
        <w:t>mu_</w:t>
      </w:r>
      <w:r w:rsidRPr="00F56B2F">
        <w:rPr>
          <w:color w:val="000000"/>
        </w:rPr>
        <w:t>N</w:t>
      </w:r>
      <w:proofErr w:type="spellEnd"/>
      <w:r w:rsidRPr="00F56B2F">
        <w:rPr>
          <w:color w:val="000000"/>
        </w:rPr>
        <w:t xml:space="preserve"> = g + </w:t>
      </w:r>
      <w:proofErr w:type="spellStart"/>
      <w:r w:rsidRPr="00F56B2F">
        <w:rPr>
          <w:color w:val="000000"/>
        </w:rPr>
        <w:t>k</w:t>
      </w:r>
      <w:r w:rsidR="00590589">
        <w:rPr>
          <w:color w:val="000000"/>
        </w:rPr>
        <w:t>_</w:t>
      </w:r>
      <w:r w:rsidRPr="00F56B2F">
        <w:rPr>
          <w:color w:val="000000"/>
        </w:rPr>
        <w:t>N</w:t>
      </w:r>
      <w:proofErr w:type="spellEnd"/>
      <w:r w:rsidRPr="00F56B2F">
        <w:rPr>
          <w:color w:val="000000"/>
        </w:rPr>
        <w:t xml:space="preserve">. Otherwise, all </w:t>
      </w:r>
      <w:proofErr w:type="spellStart"/>
      <w:r w:rsidRPr="00F56B2F">
        <w:rPr>
          <w:color w:val="000000"/>
        </w:rPr>
        <w:t>k</w:t>
      </w:r>
      <w:r w:rsidR="00590589">
        <w:rPr>
          <w:color w:val="000000"/>
        </w:rPr>
        <w:t>_</w:t>
      </w:r>
      <w:r w:rsidRPr="00F56B2F">
        <w:rPr>
          <w:color w:val="000000"/>
        </w:rPr>
        <w:t>N</w:t>
      </w:r>
      <w:proofErr w:type="spellEnd"/>
      <w:r w:rsidRPr="00F56B2F">
        <w:rPr>
          <w:color w:val="000000"/>
        </w:rPr>
        <w:t xml:space="preserve"> and </w:t>
      </w:r>
      <w:proofErr w:type="spellStart"/>
      <w:r w:rsidRPr="00F56B2F">
        <w:rPr>
          <w:color w:val="000000"/>
        </w:rPr>
        <w:t>k</w:t>
      </w:r>
      <w:r w:rsidR="00590589">
        <w:rPr>
          <w:color w:val="000000"/>
        </w:rPr>
        <w:t>_</w:t>
      </w:r>
      <w:r w:rsidRPr="00F56B2F">
        <w:rPr>
          <w:color w:val="000000"/>
        </w:rPr>
        <w:t>NoN</w:t>
      </w:r>
      <w:proofErr w:type="spellEnd"/>
      <w:r w:rsidRPr="00F56B2F">
        <w:rPr>
          <w:color w:val="000000"/>
        </w:rPr>
        <w:t xml:space="preserve"> triplicate of replicate values were used to calculate both g and </w:t>
      </w:r>
      <w:r w:rsidR="00590589">
        <w:rPr>
          <w:color w:val="000000"/>
        </w:rPr>
        <w:t>mu_</w:t>
      </w:r>
      <w:r w:rsidRPr="00F56B2F">
        <w:rPr>
          <w:color w:val="000000"/>
        </w:rPr>
        <w:t xml:space="preserve">0. </w:t>
      </w:r>
    </w:p>
    <w:p w14:paraId="44BFA44D" w14:textId="12806570" w:rsidR="00F56B2F" w:rsidRPr="00F56B2F" w:rsidRDefault="00F56B2F" w:rsidP="00F56B2F">
      <w:pPr>
        <w:pBdr>
          <w:top w:val="nil"/>
          <w:left w:val="nil"/>
          <w:bottom w:val="nil"/>
          <w:right w:val="nil"/>
          <w:between w:val="nil"/>
        </w:pBdr>
        <w:spacing w:before="180" w:after="180"/>
        <w:rPr>
          <w:color w:val="000000"/>
        </w:rPr>
      </w:pPr>
      <w:r w:rsidRPr="00F56B2F">
        <w:rPr>
          <w:color w:val="000000"/>
        </w:rPr>
        <w:t xml:space="preserve">Since size fractionation at 10 </w:t>
      </w:r>
      <w:r w:rsidR="00A50331">
        <w:rPr>
          <w:color w:val="000000"/>
        </w:rPr>
        <w:t>µ</w:t>
      </w:r>
      <w:r w:rsidRPr="00F56B2F">
        <w:rPr>
          <w:color w:val="000000"/>
        </w:rPr>
        <w:t xml:space="preserve">m was performed only on nutrient amended samples, growth rates reported on </w:t>
      </w:r>
      <w:r w:rsidR="00A50331">
        <w:rPr>
          <w:color w:val="000000"/>
        </w:rPr>
        <w:t>great</w:t>
      </w:r>
      <w:r w:rsidR="00590589">
        <w:rPr>
          <w:color w:val="000000"/>
        </w:rPr>
        <w:t xml:space="preserve">er than </w:t>
      </w:r>
      <w:r w:rsidR="00590589" w:rsidRPr="00F56B2F">
        <w:rPr>
          <w:color w:val="000000"/>
        </w:rPr>
        <w:t xml:space="preserve">10 </w:t>
      </w:r>
      <w:r w:rsidR="00A50331">
        <w:rPr>
          <w:color w:val="000000"/>
        </w:rPr>
        <w:t>µ</w:t>
      </w:r>
      <w:r w:rsidR="00590589" w:rsidRPr="00F56B2F">
        <w:rPr>
          <w:color w:val="000000"/>
        </w:rPr>
        <w:t xml:space="preserve">m </w:t>
      </w:r>
      <w:r w:rsidRPr="00F56B2F">
        <w:rPr>
          <w:color w:val="000000"/>
        </w:rPr>
        <w:t xml:space="preserve">and </w:t>
      </w:r>
      <w:r w:rsidR="00590589">
        <w:rPr>
          <w:color w:val="000000"/>
        </w:rPr>
        <w:t>l</w:t>
      </w:r>
      <w:r w:rsidR="00A50331">
        <w:rPr>
          <w:color w:val="000000"/>
        </w:rPr>
        <w:t>ess</w:t>
      </w:r>
      <w:r w:rsidR="00590589">
        <w:rPr>
          <w:color w:val="000000"/>
        </w:rPr>
        <w:t xml:space="preserve"> than </w:t>
      </w:r>
      <w:r w:rsidRPr="00F56B2F">
        <w:rPr>
          <w:color w:val="000000"/>
        </w:rPr>
        <w:t xml:space="preserve">10 </w:t>
      </w:r>
      <w:r w:rsidR="00A50331">
        <w:rPr>
          <w:color w:val="000000"/>
        </w:rPr>
        <w:t>µ</w:t>
      </w:r>
      <w:r w:rsidRPr="00F56B2F">
        <w:rPr>
          <w:color w:val="000000"/>
        </w:rPr>
        <w:t>m fractions in this study were nutrient-amended growth rates (</w:t>
      </w:r>
      <w:proofErr w:type="spellStart"/>
      <w:r w:rsidR="00590589">
        <w:rPr>
          <w:color w:val="000000"/>
        </w:rPr>
        <w:t>mu_</w:t>
      </w:r>
      <w:r w:rsidRPr="00F56B2F">
        <w:rPr>
          <w:color w:val="000000"/>
        </w:rPr>
        <w:t>N</w:t>
      </w:r>
      <w:proofErr w:type="spellEnd"/>
      <w:r w:rsidRPr="00F56B2F">
        <w:rPr>
          <w:color w:val="000000"/>
        </w:rPr>
        <w:t xml:space="preserve">) when nutrient limitation was observed. If no nutrient limitation was observed, </w:t>
      </w:r>
      <w:proofErr w:type="spellStart"/>
      <w:r w:rsidR="00590589">
        <w:rPr>
          <w:color w:val="000000"/>
        </w:rPr>
        <w:t>mu_</w:t>
      </w:r>
      <w:r w:rsidRPr="00F56B2F">
        <w:rPr>
          <w:color w:val="000000"/>
        </w:rPr>
        <w:t>N</w:t>
      </w:r>
      <w:proofErr w:type="spellEnd"/>
      <w:r w:rsidRPr="00F56B2F">
        <w:rPr>
          <w:color w:val="000000"/>
        </w:rPr>
        <w:t xml:space="preserve"> obtained </w:t>
      </w:r>
      <w:r w:rsidR="00E558C6">
        <w:rPr>
          <w:color w:val="000000"/>
        </w:rPr>
        <w:t>is equivalent to</w:t>
      </w:r>
      <w:r w:rsidRPr="00F56B2F">
        <w:rPr>
          <w:color w:val="000000"/>
        </w:rPr>
        <w:t xml:space="preserve"> </w:t>
      </w:r>
      <w:r w:rsidR="00590589">
        <w:rPr>
          <w:color w:val="000000"/>
        </w:rPr>
        <w:t>mu_</w:t>
      </w:r>
      <w:r w:rsidRPr="00F56B2F">
        <w:rPr>
          <w:color w:val="000000"/>
        </w:rPr>
        <w:t xml:space="preserve">0. </w:t>
      </w:r>
    </w:p>
    <w:p w14:paraId="00000013" w14:textId="13CB1687" w:rsidR="005E36B3" w:rsidRDefault="00F56B2F" w:rsidP="00F56B2F">
      <w:pPr>
        <w:pBdr>
          <w:top w:val="nil"/>
          <w:left w:val="nil"/>
          <w:bottom w:val="nil"/>
          <w:right w:val="nil"/>
          <w:between w:val="nil"/>
        </w:pBdr>
        <w:spacing w:before="180" w:after="180"/>
        <w:rPr>
          <w:color w:val="000000"/>
        </w:rPr>
      </w:pPr>
      <w:r w:rsidRPr="00F56B2F">
        <w:rPr>
          <w:color w:val="000000"/>
        </w:rPr>
        <w:t>The uncertainty of g estimates was quantified using the standard error of the slope fit from a linear regression between replicate k values and dilution levels. When the slope obtained was not significantly different from zero (p</w:t>
      </w:r>
      <w:r w:rsidR="00590589">
        <w:rPr>
          <w:color w:val="000000"/>
        </w:rPr>
        <w:t xml:space="preserve"> higher than </w:t>
      </w:r>
      <w:r w:rsidRPr="00F56B2F">
        <w:rPr>
          <w:color w:val="000000"/>
        </w:rPr>
        <w:t xml:space="preserve">0.05), g was set to 0. Thus, the average </w:t>
      </w:r>
      <w:proofErr w:type="spellStart"/>
      <w:r w:rsidRPr="00F56B2F">
        <w:rPr>
          <w:color w:val="000000"/>
        </w:rPr>
        <w:t>k</w:t>
      </w:r>
      <w:r w:rsidR="00590589">
        <w:rPr>
          <w:color w:val="000000"/>
        </w:rPr>
        <w:t>_</w:t>
      </w:r>
      <w:r w:rsidRPr="00F56B2F">
        <w:rPr>
          <w:color w:val="000000"/>
        </w:rPr>
        <w:t>N</w:t>
      </w:r>
      <w:proofErr w:type="spellEnd"/>
      <w:r w:rsidRPr="00F56B2F">
        <w:rPr>
          <w:color w:val="000000"/>
        </w:rPr>
        <w:t xml:space="preserve"> represented </w:t>
      </w:r>
      <w:proofErr w:type="spellStart"/>
      <w:r w:rsidR="00590589">
        <w:rPr>
          <w:color w:val="000000"/>
        </w:rPr>
        <w:t>mu_</w:t>
      </w:r>
      <w:r w:rsidRPr="00F56B2F">
        <w:rPr>
          <w:color w:val="000000"/>
        </w:rPr>
        <w:t>N</w:t>
      </w:r>
      <w:proofErr w:type="spellEnd"/>
      <w:r w:rsidRPr="00F56B2F">
        <w:rPr>
          <w:color w:val="000000"/>
        </w:rPr>
        <w:t xml:space="preserve"> and the average </w:t>
      </w:r>
      <w:proofErr w:type="spellStart"/>
      <w:r w:rsidRPr="00F56B2F">
        <w:rPr>
          <w:color w:val="000000"/>
        </w:rPr>
        <w:t>k</w:t>
      </w:r>
      <w:r w:rsidR="00590589">
        <w:rPr>
          <w:color w:val="000000"/>
        </w:rPr>
        <w:t>_</w:t>
      </w:r>
      <w:r w:rsidRPr="00F56B2F">
        <w:rPr>
          <w:color w:val="000000"/>
        </w:rPr>
        <w:t>NoN</w:t>
      </w:r>
      <w:proofErr w:type="spellEnd"/>
      <w:r w:rsidRPr="00F56B2F">
        <w:rPr>
          <w:color w:val="000000"/>
        </w:rPr>
        <w:t xml:space="preserve"> represented </w:t>
      </w:r>
      <w:r w:rsidR="00590589">
        <w:rPr>
          <w:color w:val="000000"/>
        </w:rPr>
        <w:t>mu_</w:t>
      </w:r>
      <w:r w:rsidRPr="00F56B2F">
        <w:rPr>
          <w:color w:val="000000"/>
        </w:rPr>
        <w:t>0 (Murrell et al.</w:t>
      </w:r>
      <w:r w:rsidR="00590589">
        <w:rPr>
          <w:color w:val="000000"/>
        </w:rPr>
        <w:t>,</w:t>
      </w:r>
      <w:r w:rsidRPr="00F56B2F">
        <w:rPr>
          <w:color w:val="000000"/>
        </w:rPr>
        <w:t xml:space="preserve"> 2002; Chen et al. 2009). A significant positive slope (i.e. higher growth in the WSW treatment than in the diluted) represents a violation of the method’s assumption. In such cases, g was reported as ‘undetermined’, and k in the undiluted bottles represented </w:t>
      </w:r>
      <w:proofErr w:type="spellStart"/>
      <w:r w:rsidR="00590589">
        <w:rPr>
          <w:color w:val="000000"/>
        </w:rPr>
        <w:t>mu_</w:t>
      </w:r>
      <w:r w:rsidRPr="00F56B2F">
        <w:rPr>
          <w:color w:val="000000"/>
        </w:rPr>
        <w:t>N</w:t>
      </w:r>
      <w:proofErr w:type="spellEnd"/>
      <w:r w:rsidRPr="00F56B2F">
        <w:rPr>
          <w:color w:val="000000"/>
        </w:rPr>
        <w:t xml:space="preserve"> and </w:t>
      </w:r>
      <w:r w:rsidR="00590589">
        <w:rPr>
          <w:color w:val="000000"/>
        </w:rPr>
        <w:t>mu_</w:t>
      </w:r>
      <w:r w:rsidRPr="00F56B2F">
        <w:rPr>
          <w:color w:val="000000"/>
        </w:rPr>
        <w:t xml:space="preserve">0. Uncertainties relative to </w:t>
      </w:r>
      <w:proofErr w:type="spellStart"/>
      <w:r w:rsidR="00590589">
        <w:rPr>
          <w:color w:val="000000"/>
        </w:rPr>
        <w:t>mu_</w:t>
      </w:r>
      <w:r w:rsidRPr="00F56B2F">
        <w:rPr>
          <w:color w:val="000000"/>
        </w:rPr>
        <w:t>N</w:t>
      </w:r>
      <w:proofErr w:type="spellEnd"/>
      <w:r w:rsidRPr="00F56B2F">
        <w:rPr>
          <w:color w:val="000000"/>
        </w:rPr>
        <w:t xml:space="preserve"> and </w:t>
      </w:r>
      <w:r w:rsidR="00590589">
        <w:rPr>
          <w:color w:val="000000"/>
        </w:rPr>
        <w:t>mu_</w:t>
      </w:r>
      <w:r w:rsidRPr="00F56B2F">
        <w:rPr>
          <w:color w:val="000000"/>
        </w:rPr>
        <w:t xml:space="preserve">0 were estimated from the standard deviations observed on </w:t>
      </w:r>
      <w:proofErr w:type="spellStart"/>
      <w:r w:rsidRPr="00F56B2F">
        <w:rPr>
          <w:color w:val="000000"/>
        </w:rPr>
        <w:t>k</w:t>
      </w:r>
      <w:r w:rsidR="00590589">
        <w:rPr>
          <w:color w:val="000000"/>
        </w:rPr>
        <w:t>_</w:t>
      </w:r>
      <w:r w:rsidRPr="00F56B2F">
        <w:rPr>
          <w:color w:val="000000"/>
        </w:rPr>
        <w:t>N</w:t>
      </w:r>
      <w:proofErr w:type="spellEnd"/>
      <w:r w:rsidRPr="00F56B2F">
        <w:rPr>
          <w:color w:val="000000"/>
        </w:rPr>
        <w:t xml:space="preserve"> and </w:t>
      </w:r>
      <w:proofErr w:type="spellStart"/>
      <w:r w:rsidRPr="00F56B2F">
        <w:rPr>
          <w:color w:val="000000"/>
        </w:rPr>
        <w:t>k</w:t>
      </w:r>
      <w:r w:rsidR="00590589">
        <w:rPr>
          <w:color w:val="000000"/>
        </w:rPr>
        <w:t>_</w:t>
      </w:r>
      <w:r w:rsidRPr="00F56B2F">
        <w:rPr>
          <w:color w:val="000000"/>
        </w:rPr>
        <w:t>NoN</w:t>
      </w:r>
      <w:proofErr w:type="spellEnd"/>
      <w:r w:rsidRPr="00F56B2F">
        <w:rPr>
          <w:color w:val="000000"/>
        </w:rPr>
        <w:t xml:space="preserve"> triplicate values.  </w:t>
      </w:r>
    </w:p>
    <w:p w14:paraId="78048E58" w14:textId="61D5C858" w:rsidR="00E07901" w:rsidRPr="00E07901" w:rsidRDefault="00A50331" w:rsidP="00E07901">
      <w:pPr>
        <w:pStyle w:val="Heading2"/>
      </w:pPr>
      <w:r>
        <w:lastRenderedPageBreak/>
        <w:t>Data Cleaning</w:t>
      </w:r>
    </w:p>
    <w:p w14:paraId="2EC9A040" w14:textId="77777777" w:rsidR="00E07901" w:rsidRDefault="00E07901" w:rsidP="00E07901">
      <w:pPr>
        <w:rPr>
          <w:color w:val="000000"/>
        </w:rPr>
      </w:pPr>
    </w:p>
    <w:p w14:paraId="253E17B6" w14:textId="6173B3E7" w:rsidR="00E07901" w:rsidRDefault="00E07901" w:rsidP="00E07901">
      <w:r>
        <w:rPr>
          <w:color w:val="000000"/>
        </w:rPr>
        <w:t>Data cleaning (i.e.,</w:t>
      </w:r>
      <w:r>
        <w:rPr>
          <w:rStyle w:val="apple-converted-space"/>
          <w:color w:val="000000"/>
        </w:rPr>
        <w:t> </w:t>
      </w:r>
      <w:r>
        <w:rPr>
          <w:color w:val="000000"/>
        </w:rPr>
        <w:t>separating numerical and categorical variables,</w:t>
      </w:r>
      <w:r>
        <w:rPr>
          <w:rStyle w:val="apple-converted-space"/>
          <w:color w:val="000000"/>
        </w:rPr>
        <w:t> </w:t>
      </w:r>
      <w:r>
        <w:rPr>
          <w:color w:val="000000"/>
        </w:rPr>
        <w:t>referring to multiple casts and bottles, and assuring date and time of sampling) and metadata template assembly were performed in R Markdown. Further documentation can be found on GitHub, at</w:t>
      </w:r>
      <w:r>
        <w:rPr>
          <w:rStyle w:val="apple-converted-space"/>
          <w:color w:val="000000"/>
        </w:rPr>
        <w:t> </w:t>
      </w:r>
      <w:hyperlink r:id="rId5" w:tooltip="https://github.com/WHOIGit/nes-lter-growth-grazing-chl" w:history="1">
        <w:r>
          <w:rPr>
            <w:rStyle w:val="Hyperlink"/>
          </w:rPr>
          <w:t>https://github.com/WHOIGit/nes-lter-growth-grazing-chl</w:t>
        </w:r>
      </w:hyperlink>
      <w:r>
        <w:rPr>
          <w:color w:val="000000"/>
        </w:rPr>
        <w:t>.</w:t>
      </w:r>
    </w:p>
    <w:p w14:paraId="4F431D31" w14:textId="77777777" w:rsidR="00A50331" w:rsidRDefault="00A50331" w:rsidP="00A50331">
      <w:pPr>
        <w:pStyle w:val="Heading2"/>
      </w:pPr>
      <w:r>
        <w:t>Quality Assurance</w:t>
      </w:r>
    </w:p>
    <w:p w14:paraId="69969911" w14:textId="77777777" w:rsidR="00E07901" w:rsidRDefault="00E07901" w:rsidP="00E07901">
      <w:pPr>
        <w:spacing w:after="0"/>
        <w:rPr>
          <w:rFonts w:eastAsia="Times New Roman" w:cs="Times New Roman"/>
          <w:color w:val="000000"/>
        </w:rPr>
      </w:pPr>
    </w:p>
    <w:p w14:paraId="2A2662B4" w14:textId="1DA54D63" w:rsidR="00E07901" w:rsidRPr="00E07901" w:rsidRDefault="00E07901" w:rsidP="00E07901">
      <w:pPr>
        <w:spacing w:after="0"/>
        <w:rPr>
          <w:rFonts w:ascii="Times New Roman" w:eastAsia="Times New Roman" w:hAnsi="Times New Roman" w:cs="Times New Roman"/>
        </w:rPr>
      </w:pPr>
      <w:r w:rsidRPr="00E07901">
        <w:rPr>
          <w:rFonts w:eastAsia="Times New Roman" w:cs="Times New Roman"/>
          <w:color w:val="000000"/>
        </w:rPr>
        <w:t>We assured that all values reported in the clean data table for geographic (latitude, longitude, depth, station), temporal (</w:t>
      </w:r>
      <w:proofErr w:type="spellStart"/>
      <w:r w:rsidRPr="00E07901">
        <w:rPr>
          <w:rFonts w:eastAsia="Times New Roman" w:cs="Times New Roman"/>
          <w:color w:val="000000"/>
        </w:rPr>
        <w:t>date_time_UTC</w:t>
      </w:r>
      <w:proofErr w:type="spellEnd"/>
      <w:r w:rsidRPr="00E07901">
        <w:rPr>
          <w:rFonts w:eastAsia="Times New Roman" w:cs="Times New Roman"/>
          <w:color w:val="000000"/>
        </w:rPr>
        <w:t>, </w:t>
      </w:r>
      <w:proofErr w:type="spellStart"/>
      <w:r w:rsidRPr="00E07901">
        <w:rPr>
          <w:rFonts w:eastAsia="Times New Roman" w:cs="Times New Roman"/>
          <w:color w:val="000000"/>
        </w:rPr>
        <w:t>date_time_start_UTC</w:t>
      </w:r>
      <w:proofErr w:type="spellEnd"/>
      <w:r w:rsidRPr="00E07901">
        <w:rPr>
          <w:rFonts w:eastAsia="Times New Roman" w:cs="Times New Roman"/>
          <w:color w:val="000000"/>
        </w:rPr>
        <w:t xml:space="preserve">, </w:t>
      </w:r>
      <w:proofErr w:type="spellStart"/>
      <w:r w:rsidRPr="00E07901">
        <w:rPr>
          <w:rFonts w:eastAsia="Times New Roman" w:cs="Times New Roman"/>
          <w:color w:val="000000"/>
        </w:rPr>
        <w:t>date_time_end_UTC</w:t>
      </w:r>
      <w:proofErr w:type="spellEnd"/>
      <w:r w:rsidRPr="00E07901">
        <w:rPr>
          <w:rFonts w:eastAsia="Times New Roman" w:cs="Times New Roman"/>
          <w:color w:val="000000"/>
        </w:rPr>
        <w:t xml:space="preserve">), and other cruise metadata and data (cast, bottle, temp, </w:t>
      </w:r>
      <w:proofErr w:type="spellStart"/>
      <w:r w:rsidRPr="00E07901">
        <w:rPr>
          <w:rFonts w:eastAsia="Times New Roman" w:cs="Times New Roman"/>
          <w:color w:val="000000"/>
        </w:rPr>
        <w:t>sal</w:t>
      </w:r>
      <w:proofErr w:type="spellEnd"/>
      <w:r w:rsidRPr="00E07901">
        <w:rPr>
          <w:rFonts w:eastAsia="Times New Roman" w:cs="Times New Roman"/>
          <w:color w:val="000000"/>
        </w:rPr>
        <w:t>) were as expected.</w:t>
      </w:r>
    </w:p>
    <w:p w14:paraId="4A0BEB66" w14:textId="6EBDF4EA" w:rsidR="00A50331" w:rsidRDefault="00A50331" w:rsidP="00A50331">
      <w:pPr>
        <w:pStyle w:val="Heading2"/>
      </w:pPr>
      <w:r>
        <w:t>References</w:t>
      </w:r>
    </w:p>
    <w:p w14:paraId="587EAB1F" w14:textId="00A01481" w:rsidR="007B1CC8" w:rsidRDefault="007B1CC8" w:rsidP="00A50331">
      <w:pPr>
        <w:pBdr>
          <w:top w:val="nil"/>
          <w:left w:val="nil"/>
          <w:bottom w:val="nil"/>
          <w:right w:val="nil"/>
          <w:between w:val="nil"/>
        </w:pBdr>
        <w:spacing w:before="180" w:after="180"/>
        <w:rPr>
          <w:color w:val="000000"/>
        </w:rPr>
      </w:pPr>
      <w:r w:rsidRPr="007B1CC8">
        <w:rPr>
          <w:color w:val="000000"/>
        </w:rPr>
        <w:t xml:space="preserve">Chen, B., Liu, H., Landry, M.R., </w:t>
      </w:r>
      <w:proofErr w:type="spellStart"/>
      <w:r w:rsidRPr="007B1CC8">
        <w:rPr>
          <w:color w:val="000000"/>
        </w:rPr>
        <w:t>DaI</w:t>
      </w:r>
      <w:proofErr w:type="spellEnd"/>
      <w:r w:rsidRPr="007B1CC8">
        <w:rPr>
          <w:color w:val="000000"/>
        </w:rPr>
        <w:t xml:space="preserve">, M., Huang, B., </w:t>
      </w:r>
      <w:proofErr w:type="spellStart"/>
      <w:r w:rsidRPr="007B1CC8">
        <w:rPr>
          <w:color w:val="000000"/>
        </w:rPr>
        <w:t>Sune</w:t>
      </w:r>
      <w:proofErr w:type="spellEnd"/>
      <w:r w:rsidRPr="007B1CC8">
        <w:rPr>
          <w:color w:val="000000"/>
        </w:rPr>
        <w:t xml:space="preserve">, J., 2009. Close coupling between phytoplankton growth and microzooplankton grazing in the western South China Sea. Limnology and Oceanography 54, 1084–1097. </w:t>
      </w:r>
      <w:hyperlink r:id="rId6" w:history="1">
        <w:r w:rsidRPr="007D1C77">
          <w:rPr>
            <w:rStyle w:val="Hyperlink"/>
          </w:rPr>
          <w:t>https://doi.org/10.4319/lo.2009.54.4.1084</w:t>
        </w:r>
      </w:hyperlink>
    </w:p>
    <w:p w14:paraId="333983AD" w14:textId="77777777" w:rsidR="007B1CC8" w:rsidRDefault="007B1CC8" w:rsidP="00A50331">
      <w:pPr>
        <w:pBdr>
          <w:top w:val="nil"/>
          <w:left w:val="nil"/>
          <w:bottom w:val="nil"/>
          <w:right w:val="nil"/>
          <w:between w:val="nil"/>
        </w:pBdr>
        <w:spacing w:before="180" w:after="180"/>
        <w:rPr>
          <w:color w:val="000000"/>
        </w:rPr>
      </w:pPr>
      <w:r w:rsidRPr="00A50331">
        <w:rPr>
          <w:color w:val="000000"/>
        </w:rPr>
        <w:t xml:space="preserve">Graff, J.R., Rynearson, T.A., 2011. Extraction method influences the recovery of phytoplankton pigments from natural assemblages: Chlorophyll extraction method artifacts. Limnology and Oceanography: Methods 9, 129–139. </w:t>
      </w:r>
      <w:hyperlink r:id="rId7" w:history="1">
        <w:r w:rsidRPr="007D1C77">
          <w:rPr>
            <w:rStyle w:val="Hyperlink"/>
          </w:rPr>
          <w:t>https://doi.org/10.4319/lom.2011.9.129</w:t>
        </w:r>
      </w:hyperlink>
    </w:p>
    <w:p w14:paraId="2F4BF719" w14:textId="77777777" w:rsidR="007B1CC8" w:rsidRDefault="007B1CC8" w:rsidP="007B1CC8">
      <w:pPr>
        <w:pBdr>
          <w:top w:val="nil"/>
          <w:left w:val="nil"/>
          <w:bottom w:val="nil"/>
          <w:right w:val="nil"/>
          <w:between w:val="nil"/>
        </w:pBdr>
        <w:spacing w:before="180" w:after="180"/>
        <w:rPr>
          <w:color w:val="000000"/>
        </w:rPr>
      </w:pPr>
      <w:r w:rsidRPr="00A50331">
        <w:rPr>
          <w:color w:val="000000"/>
        </w:rPr>
        <w:t xml:space="preserve">Jespersen AM, </w:t>
      </w:r>
      <w:proofErr w:type="spellStart"/>
      <w:r w:rsidRPr="00A50331">
        <w:rPr>
          <w:color w:val="000000"/>
        </w:rPr>
        <w:t>Christoffersen</w:t>
      </w:r>
      <w:proofErr w:type="spellEnd"/>
      <w:r w:rsidRPr="00A50331">
        <w:rPr>
          <w:color w:val="000000"/>
        </w:rPr>
        <w:t xml:space="preserve"> K. 1987. Measurements of Chlorophyll a from phytoplankton using ethanol as a solvent. </w:t>
      </w:r>
      <w:proofErr w:type="spellStart"/>
      <w:r w:rsidRPr="00A50331">
        <w:rPr>
          <w:color w:val="000000"/>
        </w:rPr>
        <w:t>Archiv</w:t>
      </w:r>
      <w:proofErr w:type="spellEnd"/>
      <w:r w:rsidRPr="00A50331">
        <w:rPr>
          <w:color w:val="000000"/>
        </w:rPr>
        <w:t xml:space="preserve"> Fur </w:t>
      </w:r>
      <w:proofErr w:type="spellStart"/>
      <w:r w:rsidRPr="00A50331">
        <w:rPr>
          <w:color w:val="000000"/>
        </w:rPr>
        <w:t>Hydrobiologie</w:t>
      </w:r>
      <w:proofErr w:type="spellEnd"/>
      <w:r w:rsidRPr="00A50331">
        <w:rPr>
          <w:color w:val="000000"/>
        </w:rPr>
        <w:t xml:space="preserve"> 109:445454.</w:t>
      </w:r>
    </w:p>
    <w:p w14:paraId="713CD32D" w14:textId="1457C2EE" w:rsidR="00A50331" w:rsidRDefault="00A50331" w:rsidP="00A50331">
      <w:pPr>
        <w:pBdr>
          <w:top w:val="nil"/>
          <w:left w:val="nil"/>
          <w:bottom w:val="nil"/>
          <w:right w:val="nil"/>
          <w:between w:val="nil"/>
        </w:pBdr>
        <w:spacing w:before="180" w:after="180"/>
        <w:rPr>
          <w:color w:val="000000"/>
        </w:rPr>
      </w:pPr>
      <w:r w:rsidRPr="00A50331">
        <w:rPr>
          <w:color w:val="000000"/>
        </w:rPr>
        <w:t xml:space="preserve">Landry, M.R., </w:t>
      </w:r>
      <w:proofErr w:type="spellStart"/>
      <w:r w:rsidRPr="00A50331">
        <w:rPr>
          <w:color w:val="000000"/>
        </w:rPr>
        <w:t>Hassett</w:t>
      </w:r>
      <w:proofErr w:type="spellEnd"/>
      <w:r w:rsidRPr="00A50331">
        <w:rPr>
          <w:color w:val="000000"/>
        </w:rPr>
        <w:t xml:space="preserve">, R.P., 1982. Estimating the grazing impact of marine micro-zooplankton. Marine Biology 67, 283–288. </w:t>
      </w:r>
      <w:hyperlink r:id="rId8" w:history="1">
        <w:r w:rsidRPr="007D1C77">
          <w:rPr>
            <w:rStyle w:val="Hyperlink"/>
          </w:rPr>
          <w:t>https://doi.org/10.1007/BF00397668</w:t>
        </w:r>
      </w:hyperlink>
    </w:p>
    <w:p w14:paraId="469DE283" w14:textId="676FFDDB" w:rsidR="007B1CC8" w:rsidRDefault="007B1CC8" w:rsidP="00A50331">
      <w:pPr>
        <w:pBdr>
          <w:top w:val="nil"/>
          <w:left w:val="nil"/>
          <w:bottom w:val="nil"/>
          <w:right w:val="nil"/>
          <w:between w:val="nil"/>
        </w:pBdr>
        <w:spacing w:before="180" w:after="180"/>
        <w:rPr>
          <w:color w:val="000000"/>
        </w:rPr>
      </w:pPr>
      <w:r w:rsidRPr="007B1CC8">
        <w:rPr>
          <w:color w:val="000000"/>
        </w:rPr>
        <w:t xml:space="preserve">Landry, M., Haas, L., </w:t>
      </w:r>
      <w:proofErr w:type="spellStart"/>
      <w:r w:rsidRPr="007B1CC8">
        <w:rPr>
          <w:color w:val="000000"/>
        </w:rPr>
        <w:t>Fagerness</w:t>
      </w:r>
      <w:proofErr w:type="spellEnd"/>
      <w:r w:rsidRPr="007B1CC8">
        <w:rPr>
          <w:color w:val="000000"/>
        </w:rPr>
        <w:t xml:space="preserve">, V., 1984. Dynamics of microbial plankton communities: experiments in Kaneohe Bay, Hawaii. Marine Ecology Progress Series 16, 127–133. </w:t>
      </w:r>
      <w:hyperlink r:id="rId9" w:history="1">
        <w:r w:rsidRPr="007D1C77">
          <w:rPr>
            <w:rStyle w:val="Hyperlink"/>
          </w:rPr>
          <w:t>https://doi.org/10.3354/meps016127</w:t>
        </w:r>
      </w:hyperlink>
    </w:p>
    <w:p w14:paraId="037AFF67" w14:textId="47046491" w:rsidR="007B1CC8" w:rsidRDefault="007B1CC8" w:rsidP="00A50331">
      <w:pPr>
        <w:pBdr>
          <w:top w:val="nil"/>
          <w:left w:val="nil"/>
          <w:bottom w:val="nil"/>
          <w:right w:val="nil"/>
          <w:between w:val="nil"/>
        </w:pBdr>
        <w:spacing w:before="180" w:after="180"/>
        <w:rPr>
          <w:color w:val="000000"/>
        </w:rPr>
      </w:pPr>
      <w:r w:rsidRPr="007B1CC8">
        <w:rPr>
          <w:color w:val="000000"/>
        </w:rPr>
        <w:t xml:space="preserve">Landry, M.R., Brown, S.L., </w:t>
      </w:r>
      <w:proofErr w:type="spellStart"/>
      <w:r w:rsidRPr="007B1CC8">
        <w:rPr>
          <w:color w:val="000000"/>
        </w:rPr>
        <w:t>Rii</w:t>
      </w:r>
      <w:proofErr w:type="spellEnd"/>
      <w:r w:rsidRPr="007B1CC8">
        <w:rPr>
          <w:color w:val="000000"/>
        </w:rPr>
        <w:t xml:space="preserve">, Y.M., </w:t>
      </w:r>
      <w:proofErr w:type="spellStart"/>
      <w:r w:rsidRPr="007B1CC8">
        <w:rPr>
          <w:color w:val="000000"/>
        </w:rPr>
        <w:t>Selph</w:t>
      </w:r>
      <w:proofErr w:type="spellEnd"/>
      <w:r w:rsidRPr="007B1CC8">
        <w:rPr>
          <w:color w:val="000000"/>
        </w:rPr>
        <w:t xml:space="preserve">, K.E., </w:t>
      </w:r>
      <w:proofErr w:type="spellStart"/>
      <w:r w:rsidRPr="007B1CC8">
        <w:rPr>
          <w:color w:val="000000"/>
        </w:rPr>
        <w:t>Bidigare</w:t>
      </w:r>
      <w:proofErr w:type="spellEnd"/>
      <w:r w:rsidRPr="007B1CC8">
        <w:rPr>
          <w:color w:val="000000"/>
        </w:rPr>
        <w:t>, R.R., Yang, E.J., Simmons, M.P., 2008. Depth-stratified phytoplankton dynamics in Cyclone Opal, a subtropical mesoscale eddy. Deep Sea Research Part II: Topical S</w:t>
      </w:r>
      <w:bookmarkStart w:id="1" w:name="_GoBack"/>
      <w:bookmarkEnd w:id="1"/>
      <w:r w:rsidRPr="007B1CC8">
        <w:rPr>
          <w:color w:val="000000"/>
        </w:rPr>
        <w:t xml:space="preserve">tudies in Oceanography 55, 1348–1359. </w:t>
      </w:r>
      <w:hyperlink r:id="rId10" w:history="1">
        <w:r w:rsidRPr="007D1C77">
          <w:rPr>
            <w:rStyle w:val="Hyperlink"/>
          </w:rPr>
          <w:t>https://doi.org/10.1016/j.dsr2.2008.02.001</w:t>
        </w:r>
      </w:hyperlink>
    </w:p>
    <w:p w14:paraId="5FCEC71B" w14:textId="309A5F46" w:rsidR="007B1CC8" w:rsidRDefault="007B1CC8" w:rsidP="00A50331">
      <w:pPr>
        <w:pBdr>
          <w:top w:val="nil"/>
          <w:left w:val="nil"/>
          <w:bottom w:val="nil"/>
          <w:right w:val="nil"/>
          <w:between w:val="nil"/>
        </w:pBdr>
        <w:spacing w:before="180" w:after="180"/>
        <w:rPr>
          <w:color w:val="000000"/>
        </w:rPr>
      </w:pPr>
      <w:r w:rsidRPr="007B1CC8">
        <w:rPr>
          <w:color w:val="000000"/>
        </w:rPr>
        <w:t xml:space="preserve">Murrell, M.C., Stanley, R.S., </w:t>
      </w:r>
      <w:proofErr w:type="spellStart"/>
      <w:r w:rsidRPr="007B1CC8">
        <w:rPr>
          <w:color w:val="000000"/>
        </w:rPr>
        <w:t>Lores</w:t>
      </w:r>
      <w:proofErr w:type="spellEnd"/>
      <w:r w:rsidRPr="007B1CC8">
        <w:rPr>
          <w:color w:val="000000"/>
        </w:rPr>
        <w:t xml:space="preserve">, E.M., DiDonato, G.T., </w:t>
      </w:r>
      <w:proofErr w:type="spellStart"/>
      <w:r w:rsidRPr="007B1CC8">
        <w:rPr>
          <w:color w:val="000000"/>
        </w:rPr>
        <w:t>Flemer</w:t>
      </w:r>
      <w:proofErr w:type="spellEnd"/>
      <w:r w:rsidRPr="007B1CC8">
        <w:rPr>
          <w:color w:val="000000"/>
        </w:rPr>
        <w:t xml:space="preserve">, D.A., 2002. Linkage between microzooplankton grazing and phytoplankton growth in a Gulf of Mexico estuary. Estuaries 25, 19–29. </w:t>
      </w:r>
      <w:hyperlink r:id="rId11" w:history="1">
        <w:r w:rsidRPr="007D1C77">
          <w:rPr>
            <w:rStyle w:val="Hyperlink"/>
          </w:rPr>
          <w:t>https://doi.org/10.1007/BF02696046</w:t>
        </w:r>
      </w:hyperlink>
    </w:p>
    <w:p w14:paraId="7F152E4A" w14:textId="11ED129A" w:rsidR="00A50331" w:rsidRDefault="007B1CC8" w:rsidP="00A50331">
      <w:pPr>
        <w:pBdr>
          <w:top w:val="nil"/>
          <w:left w:val="nil"/>
          <w:bottom w:val="nil"/>
          <w:right w:val="nil"/>
          <w:between w:val="nil"/>
        </w:pBdr>
        <w:spacing w:before="180" w:after="180"/>
        <w:rPr>
          <w:color w:val="000000"/>
        </w:rPr>
      </w:pPr>
      <w:r w:rsidRPr="00A50331">
        <w:rPr>
          <w:color w:val="000000"/>
        </w:rPr>
        <w:t>Morison, F., Menden-</w:t>
      </w:r>
      <w:proofErr w:type="spellStart"/>
      <w:r w:rsidRPr="00A50331">
        <w:rPr>
          <w:color w:val="000000"/>
        </w:rPr>
        <w:t>Deuer</w:t>
      </w:r>
      <w:proofErr w:type="spellEnd"/>
      <w:r w:rsidRPr="00A50331">
        <w:rPr>
          <w:color w:val="000000"/>
        </w:rPr>
        <w:t xml:space="preserve">, S., 2017. Doing more with less? Balancing sampling resolution and effort in measurements of </w:t>
      </w:r>
      <w:proofErr w:type="spellStart"/>
      <w:r w:rsidRPr="00A50331">
        <w:rPr>
          <w:color w:val="000000"/>
        </w:rPr>
        <w:t>protistan</w:t>
      </w:r>
      <w:proofErr w:type="spellEnd"/>
      <w:r w:rsidRPr="00A50331">
        <w:rPr>
          <w:color w:val="000000"/>
        </w:rPr>
        <w:t xml:space="preserve"> growth and grazing-rates: Measuring plankton </w:t>
      </w:r>
      <w:r w:rsidRPr="00A50331">
        <w:rPr>
          <w:color w:val="000000"/>
        </w:rPr>
        <w:lastRenderedPageBreak/>
        <w:t xml:space="preserve">growth and grazing. Limnology and Oceanography: Methods 15, 794–809. </w:t>
      </w:r>
      <w:hyperlink r:id="rId12" w:history="1">
        <w:r w:rsidRPr="007D1C77">
          <w:rPr>
            <w:rStyle w:val="Hyperlink"/>
          </w:rPr>
          <w:t>https://doi.org/10.1002/lom3.10200</w:t>
        </w:r>
      </w:hyperlink>
    </w:p>
    <w:p w14:paraId="712BF0DD" w14:textId="77777777" w:rsidR="00A50331" w:rsidRDefault="00A50331" w:rsidP="00F56B2F">
      <w:pPr>
        <w:pBdr>
          <w:top w:val="nil"/>
          <w:left w:val="nil"/>
          <w:bottom w:val="nil"/>
          <w:right w:val="nil"/>
          <w:between w:val="nil"/>
        </w:pBdr>
        <w:spacing w:before="180" w:after="180"/>
        <w:rPr>
          <w:color w:val="000000"/>
        </w:rPr>
      </w:pPr>
    </w:p>
    <w:sectPr w:rsidR="00A503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6B3"/>
    <w:rsid w:val="00150932"/>
    <w:rsid w:val="00504E46"/>
    <w:rsid w:val="00590589"/>
    <w:rsid w:val="005E36B3"/>
    <w:rsid w:val="00704476"/>
    <w:rsid w:val="007905AA"/>
    <w:rsid w:val="007B1CC8"/>
    <w:rsid w:val="00A50331"/>
    <w:rsid w:val="00B27286"/>
    <w:rsid w:val="00B357FB"/>
    <w:rsid w:val="00CF170A"/>
    <w:rsid w:val="00D05E0F"/>
    <w:rsid w:val="00D134ED"/>
    <w:rsid w:val="00D92141"/>
    <w:rsid w:val="00E07901"/>
    <w:rsid w:val="00E27B16"/>
    <w:rsid w:val="00E558C6"/>
    <w:rsid w:val="00F3019A"/>
    <w:rsid w:val="00F5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9477"/>
  <w15:docId w15:val="{CDF4EAB8-3954-2A48-85EA-D4894A17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uiPriority w:val="99"/>
    <w:semiHidden/>
    <w:unhideWhenUsed/>
    <w:rsid w:val="00F56B2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B2F"/>
    <w:rPr>
      <w:rFonts w:ascii="Segoe UI" w:hAnsi="Segoe UI" w:cs="Segoe UI"/>
      <w:sz w:val="18"/>
      <w:szCs w:val="18"/>
    </w:rPr>
  </w:style>
  <w:style w:type="character" w:styleId="UnresolvedMention">
    <w:name w:val="Unresolved Mention"/>
    <w:basedOn w:val="DefaultParagraphFont"/>
    <w:uiPriority w:val="99"/>
    <w:semiHidden/>
    <w:unhideWhenUsed/>
    <w:rsid w:val="00A50331"/>
    <w:rPr>
      <w:color w:val="605E5C"/>
      <w:shd w:val="clear" w:color="auto" w:fill="E1DFDD"/>
    </w:rPr>
  </w:style>
  <w:style w:type="character" w:customStyle="1" w:styleId="apple-converted-space">
    <w:name w:val="apple-converted-space"/>
    <w:basedOn w:val="DefaultParagraphFont"/>
    <w:rsid w:val="00E07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630606">
      <w:bodyDiv w:val="1"/>
      <w:marLeft w:val="0"/>
      <w:marRight w:val="0"/>
      <w:marTop w:val="0"/>
      <w:marBottom w:val="0"/>
      <w:divBdr>
        <w:top w:val="none" w:sz="0" w:space="0" w:color="auto"/>
        <w:left w:val="none" w:sz="0" w:space="0" w:color="auto"/>
        <w:bottom w:val="none" w:sz="0" w:space="0" w:color="auto"/>
        <w:right w:val="none" w:sz="0" w:space="0" w:color="auto"/>
      </w:divBdr>
    </w:div>
    <w:div w:id="1499880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BF0039766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4319/lom.2011.9.129" TargetMode="External"/><Relationship Id="rId12" Type="http://schemas.openxmlformats.org/officeDocument/2006/relationships/hyperlink" Target="https://doi.org/10.1002/lom3.1020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4319/lo.2009.54.4.1084" TargetMode="External"/><Relationship Id="rId11" Type="http://schemas.openxmlformats.org/officeDocument/2006/relationships/hyperlink" Target="https://doi.org/10.1007/BF02696046" TargetMode="External"/><Relationship Id="rId5" Type="http://schemas.openxmlformats.org/officeDocument/2006/relationships/hyperlink" Target="https://github.com/WHOIGit/nes-lter-growth-grazing-chl" TargetMode="External"/><Relationship Id="rId10" Type="http://schemas.openxmlformats.org/officeDocument/2006/relationships/hyperlink" Target="https://doi.org/10.1016/j.dsr2.2008.02.001" TargetMode="External"/><Relationship Id="rId4" Type="http://schemas.openxmlformats.org/officeDocument/2006/relationships/webSettings" Target="webSettings.xml"/><Relationship Id="rId9" Type="http://schemas.openxmlformats.org/officeDocument/2006/relationships/hyperlink" Target="https://doi.org/10.3354/meps0161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eAxTp3Ld17uUUKD9X9rct7fwcQ==">AMUW2mUFy8G64EuzrrDaJkPu0df4Lt8gJnZpBpKt+2r1VoXX3MW2LWdOcooY/5vn18WlQKVgDr3oqhO/2Ebvxd0by7oJSA5GVzfOJ9Qp+P/fuVicyhbnQF0V5IsxnAGUzhc7dVoXuW20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dc:creator>
  <cp:lastModifiedBy>Jaxine Wolfe</cp:lastModifiedBy>
  <cp:revision>8</cp:revision>
  <dcterms:created xsi:type="dcterms:W3CDTF">2019-10-29T16:06:00Z</dcterms:created>
  <dcterms:modified xsi:type="dcterms:W3CDTF">2019-11-07T22:23:00Z</dcterms:modified>
</cp:coreProperties>
</file>