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6"/>
        </w:rPr>
        <w:t>WESTLAND HIGH SCHOOL</w:t>
      </w:r>
      <w:r>
        <w:rPr>
          <w:b/>
          <w:color w:val="7E1A0C"/>
          <w:sz w:val="20"/>
        </w:rPr>
        <w:br/>
        <w:t>STEAM – Lesson Plan - DT</w:t>
      </w:r>
    </w:p>
    <w:tbl>
      <w:tblPr>
        <w:tblW w:type="auto" w:w="0"/>
        <w:jc w:val="center"/>
        <w:tblLook w:firstColumn="1" w:firstRow="1" w:lastColumn="0" w:lastRow="0" w:noHBand="0" w:noVBand="1" w:val="04A0"/>
      </w:tblPr>
      <w:tblGrid>
        <w:gridCol w:w="2736"/>
        <w:gridCol w:w="2736"/>
        <w:gridCol w:w="2736"/>
        <w:gridCol w:w="2736"/>
      </w:tblGrid>
      <w:tr>
        <w:tc>
          <w:tcPr>
            <w:tcW w:type="dxa" w:w="2736"/>
            <w:vAlign w:val="center"/>
            <w:tcMar>
              <w:top w:w="80" w:type="dxa"/>
              <w:start w:w="90" w:type="dxa"/>
              <w:bottom w:w="80" w:type="dxa"/>
              <w:end w:w="90" w:type="dxa"/>
            </w:tcMar>
            <w:shd w:fill="9E1B0B"/>
          </w:tcPr>
          <w:p>
            <w:r/>
            <w:r>
              <w:rPr>
                <w:rFonts w:ascii="Aptos" w:hAnsi="Aptos"/>
                <w:b/>
                <w:color w:val="FFFFFF"/>
                <w:sz w:val="16"/>
              </w:rPr>
              <w:t>Unit:</w:t>
            </w:r>
          </w:p>
        </w:tc>
        <w:tc>
          <w:tcPr>
            <w:tcW w:type="dxa" w:w="2736"/>
            <w:vAlign w:val="center"/>
            <w:tcMar>
              <w:top w:w="80" w:type="dxa"/>
              <w:start w:w="90" w:type="dxa"/>
              <w:bottom w:w="80" w:type="dxa"/>
              <w:end w:w="90" w:type="dxa"/>
            </w:tcMar>
          </w:tcPr>
          <w:p>
            <w:r/>
            <w:r>
              <w:rPr>
                <w:rFonts w:ascii="Aptos" w:hAnsi="Aptos"/>
                <w:b w:val="0"/>
                <w:color w:val="000000"/>
                <w:sz w:val="16"/>
              </w:rPr>
              <w:t>Reliever Classwork</w:t>
            </w:r>
          </w:p>
        </w:tc>
        <w:tc>
          <w:tcPr>
            <w:tcW w:type="dxa" w:w="2736"/>
            <w:vAlign w:val="center"/>
            <w:tcMar>
              <w:top w:w="80" w:type="dxa"/>
              <w:start w:w="90" w:type="dxa"/>
              <w:bottom w:w="80" w:type="dxa"/>
              <w:end w:w="90" w:type="dxa"/>
            </w:tcMar>
            <w:shd w:fill="9E1B0B"/>
          </w:tcPr>
          <w:p>
            <w:r/>
            <w:r>
              <w:rPr>
                <w:rFonts w:ascii="Aptos" w:hAnsi="Aptos"/>
                <w:b/>
                <w:color w:val="FFFFFF"/>
                <w:sz w:val="16"/>
              </w:rPr>
              <w:t>STEAM Component:</w:t>
            </w:r>
          </w:p>
        </w:tc>
        <w:tc>
          <w:tcPr>
            <w:tcW w:type="dxa" w:w="2736"/>
            <w:vAlign w:val="center"/>
            <w:tcMar>
              <w:top w:w="80" w:type="dxa"/>
              <w:start w:w="90" w:type="dxa"/>
              <w:bottom w:w="80" w:type="dxa"/>
              <w:end w:w="90" w:type="dxa"/>
            </w:tcMar>
          </w:tcPr>
          <w:p>
            <w:r/>
            <w:r>
              <w:rPr>
                <w:rFonts w:ascii="Aptos" w:hAnsi="Aptos"/>
                <w:b w:val="0"/>
                <w:color w:val="000000"/>
                <w:sz w:val="16"/>
              </w:rPr>
              <w:t>Technology</w:t>
            </w:r>
          </w:p>
        </w:tc>
      </w:tr>
      <w:tr>
        <w:tc>
          <w:tcPr>
            <w:tcW w:type="dxa" w:w="2736"/>
            <w:vAlign w:val="center"/>
            <w:tcMar>
              <w:top w:w="80" w:type="dxa"/>
              <w:start w:w="90" w:type="dxa"/>
              <w:bottom w:w="80" w:type="dxa"/>
              <w:end w:w="90" w:type="dxa"/>
            </w:tcMar>
            <w:shd w:fill="9E1B0B"/>
          </w:tcPr>
          <w:p>
            <w:r/>
            <w:r>
              <w:rPr>
                <w:rFonts w:ascii="Aptos" w:hAnsi="Aptos"/>
                <w:b/>
                <w:color w:val="FFFFFF"/>
                <w:sz w:val="16"/>
              </w:rPr>
              <w:t>Theme:</w:t>
            </w:r>
          </w:p>
        </w:tc>
        <w:tc>
          <w:tcPr>
            <w:tcW w:type="dxa" w:w="2736"/>
            <w:vAlign w:val="center"/>
            <w:tcMar>
              <w:top w:w="80" w:type="dxa"/>
              <w:start w:w="90" w:type="dxa"/>
              <w:bottom w:w="80" w:type="dxa"/>
              <w:end w:w="90" w:type="dxa"/>
            </w:tcMar>
          </w:tcPr>
          <w:p>
            <w:r/>
            <w:r>
              <w:rPr>
                <w:rFonts w:ascii="Aptos" w:hAnsi="Aptos"/>
                <w:b w:val="0"/>
                <w:color w:val="000000"/>
                <w:sz w:val="16"/>
              </w:rPr>
              <w:t>International Day for the Preservation of the Ozone Layer</w:t>
            </w:r>
          </w:p>
        </w:tc>
        <w:tc>
          <w:tcPr>
            <w:tcW w:type="dxa" w:w="2736"/>
            <w:vAlign w:val="center"/>
            <w:tcMar>
              <w:top w:w="80" w:type="dxa"/>
              <w:start w:w="90" w:type="dxa"/>
              <w:bottom w:w="80" w:type="dxa"/>
              <w:end w:w="90" w:type="dxa"/>
            </w:tcMar>
            <w:shd w:fill="9E1B0B"/>
          </w:tcPr>
          <w:p>
            <w:r/>
            <w:r>
              <w:rPr>
                <w:rFonts w:ascii="Aptos" w:hAnsi="Aptos"/>
                <w:b/>
                <w:color w:val="FFFFFF"/>
                <w:sz w:val="16"/>
              </w:rPr>
              <w:t>Discipline:</w:t>
            </w:r>
          </w:p>
        </w:tc>
        <w:tc>
          <w:tcPr>
            <w:tcW w:type="dxa" w:w="2736"/>
            <w:vAlign w:val="center"/>
            <w:tcMar>
              <w:top w:w="80" w:type="dxa"/>
              <w:start w:w="90" w:type="dxa"/>
              <w:bottom w:w="80" w:type="dxa"/>
              <w:end w:w="90" w:type="dxa"/>
            </w:tcMar>
          </w:tcPr>
          <w:p>
            <w:r/>
            <w:r>
              <w:rPr>
                <w:rFonts w:ascii="Aptos" w:hAnsi="Aptos"/>
                <w:b w:val="0"/>
                <w:color w:val="000000"/>
                <w:sz w:val="16"/>
              </w:rPr>
              <w:t>Digital Technologies</w:t>
            </w:r>
          </w:p>
        </w:tc>
      </w:tr>
      <w:tr>
        <w:tc>
          <w:tcPr>
            <w:tcW w:type="dxa" w:w="2736"/>
            <w:vAlign w:val="center"/>
            <w:tcMar>
              <w:top w:w="80" w:type="dxa"/>
              <w:start w:w="90" w:type="dxa"/>
              <w:bottom w:w="80" w:type="dxa"/>
              <w:end w:w="90" w:type="dxa"/>
            </w:tcMar>
            <w:shd w:fill="9E1B0B"/>
          </w:tcPr>
          <w:p>
            <w:r/>
            <w:r>
              <w:rPr>
                <w:rFonts w:ascii="Aptos" w:hAnsi="Aptos"/>
                <w:b/>
                <w:color w:val="FFFFFF"/>
                <w:sz w:val="16"/>
              </w:rPr>
              <w:t>Focus:</w:t>
            </w:r>
          </w:p>
        </w:tc>
        <w:tc>
          <w:tcPr>
            <w:tcW w:type="dxa" w:w="2736"/>
            <w:vAlign w:val="center"/>
            <w:tcMar>
              <w:top w:w="80" w:type="dxa"/>
              <w:start w:w="90" w:type="dxa"/>
              <w:bottom w:w="80" w:type="dxa"/>
              <w:end w:w="90" w:type="dxa"/>
            </w:tcMar>
          </w:tcPr>
          <w:p>
            <w:r/>
            <w:r>
              <w:rPr>
                <w:rFonts w:ascii="Aptos" w:hAnsi="Aptos"/>
                <w:b w:val="0"/>
                <w:color w:val="000000"/>
                <w:sz w:val="16"/>
              </w:rPr>
              <w:t>Investigate ozone depletion as a technological and global problem, evaluate reliable digital information, and communicate a concise evidence-based response through a digital infographic.</w:t>
            </w:r>
          </w:p>
        </w:tc>
        <w:tc>
          <w:tcPr>
            <w:tcW w:type="dxa" w:w="2736"/>
            <w:vAlign w:val="center"/>
            <w:tcMar>
              <w:top w:w="80" w:type="dxa"/>
              <w:start w:w="90" w:type="dxa"/>
              <w:bottom w:w="80" w:type="dxa"/>
              <w:end w:w="90" w:type="dxa"/>
            </w:tcMar>
            <w:shd w:fill="9E1B0B"/>
          </w:tcPr>
          <w:p>
            <w:r/>
            <w:r>
              <w:rPr>
                <w:rFonts w:ascii="Aptos" w:hAnsi="Aptos"/>
                <w:b/>
                <w:color w:val="FFFFFF"/>
                <w:sz w:val="16"/>
              </w:rPr>
              <w:t>Class:</w:t>
            </w:r>
          </w:p>
        </w:tc>
        <w:tc>
          <w:tcPr>
            <w:tcW w:type="dxa" w:w="2736"/>
            <w:vAlign w:val="center"/>
            <w:tcMar>
              <w:top w:w="80" w:type="dxa"/>
              <w:start w:w="90" w:type="dxa"/>
              <w:bottom w:w="80" w:type="dxa"/>
              <w:end w:w="90" w:type="dxa"/>
            </w:tcMar>
          </w:tcPr>
          <w:p>
            <w:r/>
            <w:r>
              <w:rPr>
                <w:rFonts w:ascii="Aptos" w:hAnsi="Aptos"/>
                <w:b w:val="0"/>
                <w:color w:val="000000"/>
                <w:sz w:val="16"/>
              </w:rPr>
              <w:t>NZ Year 9/10 combined</w:t>
            </w:r>
          </w:p>
        </w:tc>
      </w:tr>
    </w:tbl>
    <w:tbl>
      <w:tblPr>
        <w:tblW w:type="auto" w:w="0"/>
        <w:tblLook w:firstColumn="1" w:firstRow="1" w:lastColumn="0" w:lastRow="0" w:noHBand="0" w:noVBand="1" w:val="04A0"/>
      </w:tblPr>
      <w:tblGrid>
        <w:gridCol w:w="5472"/>
        <w:gridCol w:w="5472"/>
      </w:tblGrid>
      <w:tr>
        <w:tc>
          <w:tcPr>
            <w:tcW w:type="dxa" w:w="5472"/>
            <w:vAlign w:val="center"/>
            <w:tcMar>
              <w:top w:w="80" w:type="dxa"/>
              <w:start w:w="90" w:type="dxa"/>
              <w:bottom w:w="80" w:type="dxa"/>
              <w:end w:w="90" w:type="dxa"/>
            </w:tcMar>
            <w:shd w:fill="9E1B0B"/>
          </w:tcPr>
          <w:p>
            <w:r/>
            <w:r>
              <w:rPr>
                <w:rFonts w:ascii="Aptos" w:hAnsi="Aptos"/>
                <w:b/>
                <w:color w:val="FFFFFF"/>
                <w:sz w:val="20"/>
              </w:rPr>
              <w:t>AIM(S) OF LESSON:</w:t>
            </w:r>
          </w:p>
        </w:tc>
        <w:tc>
          <w:tcPr>
            <w:tcW w:type="dxa" w:w="5472"/>
            <w:vAlign w:val="center"/>
            <w:tcMar>
              <w:top w:w="80" w:type="dxa"/>
              <w:start w:w="90" w:type="dxa"/>
              <w:bottom w:w="80" w:type="dxa"/>
              <w:end w:w="90" w:type="dxa"/>
            </w:tcMar>
            <w:shd w:fill="9E1B0B"/>
          </w:tcPr>
          <w:p>
            <w:r/>
            <w:r>
              <w:rPr>
                <w:rFonts w:ascii="Aptos" w:hAnsi="Aptos"/>
                <w:b/>
                <w:color w:val="FFFFFF"/>
                <w:sz w:val="20"/>
              </w:rPr>
              <w:t>Resources Required:</w:t>
            </w:r>
          </w:p>
        </w:tc>
      </w:tr>
      <w:tr>
        <w:tc>
          <w:tcPr>
            <w:tcW w:type="dxa" w:w="5472"/>
            <w:vAlign w:val="center"/>
            <w:tcMar>
              <w:top w:w="80" w:type="dxa"/>
              <w:start w:w="90" w:type="dxa"/>
              <w:bottom w:w="80" w:type="dxa"/>
              <w:end w:w="90" w:type="dxa"/>
            </w:tcMar>
          </w:tcPr>
          <w:p>
            <w:r/>
            <w:r>
              <w:rPr>
                <w:rFonts w:ascii="Aptos" w:hAnsi="Aptos"/>
                <w:b w:val="0"/>
                <w:color w:val="000000"/>
                <w:sz w:val="16"/>
              </w:rPr>
              <w:t>By the end of the lesson, students will be able to:</w:t>
              <w:br/>
              <w:t>• explain the purpose of the ozone layer and the technological causes of ozone depletion;</w:t>
              <w:br/>
              <w:t>• identify how technology, regulation and international cooperation responded to the problem;</w:t>
              <w:br/>
              <w:t>• distinguish useful/reliable online information from weak information; and</w:t>
              <w:br/>
              <w:t>• create a concise digital infographic that uses evidence, visual hierarchy and acknowledged sources.</w:t>
            </w:r>
          </w:p>
        </w:tc>
        <w:tc>
          <w:tcPr>
            <w:tcW w:type="dxa" w:w="5472"/>
            <w:vAlign w:val="center"/>
            <w:tcMar>
              <w:top w:w="80" w:type="dxa"/>
              <w:start w:w="90" w:type="dxa"/>
              <w:bottom w:w="80" w:type="dxa"/>
              <w:end w:w="90" w:type="dxa"/>
            </w:tcMar>
          </w:tcPr>
          <w:p>
            <w:r/>
            <w:r>
              <w:rPr>
                <w:rFonts w:ascii="Aptos" w:hAnsi="Aptos"/>
                <w:b w:val="0"/>
                <w:color w:val="000000"/>
                <w:sz w:val="16"/>
              </w:rPr>
              <w:t>• Chromebook with internet access</w:t>
              <w:br/>
              <w:t>• Google Slides or Google Drawings</w:t>
              <w:br/>
              <w:t>• UN Ozone Day / Montreal Protocol information</w:t>
              <w:br/>
              <w:t>• NZ Ministry for the Environment information</w:t>
              <w:br/>
              <w:t>• Normal school submission/sharing system</w:t>
            </w:r>
          </w:p>
        </w:tc>
      </w:tr>
    </w:tbl>
    <w:tbl>
      <w:tblPr>
        <w:tblW w:type="auto" w:w="0"/>
        <w:tblLook w:firstColumn="1" w:firstRow="1" w:lastColumn="0" w:lastRow="0" w:noHBand="0" w:noVBand="1" w:val="04A0"/>
      </w:tblPr>
      <w:tblGrid>
        <w:gridCol w:w="10944"/>
      </w:tblGrid>
      <w:tr>
        <w:tc>
          <w:tcPr>
            <w:tcW w:type="dxa" w:w="10944"/>
            <w:vAlign w:val="center"/>
            <w:tcMar>
              <w:top w:w="80" w:type="dxa"/>
              <w:start w:w="90" w:type="dxa"/>
              <w:bottom w:w="80" w:type="dxa"/>
              <w:end w:w="90" w:type="dxa"/>
            </w:tcMar>
            <w:shd w:fill="9E1B0B"/>
          </w:tcPr>
          <w:p>
            <w:r/>
            <w:r>
              <w:rPr>
                <w:rFonts w:ascii="Aptos" w:hAnsi="Aptos"/>
                <w:b/>
                <w:color w:val="FFFFFF"/>
                <w:sz w:val="20"/>
              </w:rPr>
              <w:t>Preparation (To do before lesson)</w:t>
            </w:r>
          </w:p>
        </w:tc>
      </w:tr>
      <w:tr>
        <w:tc>
          <w:tcPr>
            <w:tcW w:type="dxa" w:w="10944"/>
            <w:vAlign w:val="center"/>
            <w:tcMar>
              <w:top w:w="80" w:type="dxa"/>
              <w:start w:w="90" w:type="dxa"/>
              <w:bottom w:w="80" w:type="dxa"/>
              <w:end w:w="90" w:type="dxa"/>
            </w:tcMar>
          </w:tcPr>
          <w:p>
            <w:r/>
            <w:r>
              <w:rPr>
                <w:rFonts w:ascii="Aptos" w:hAnsi="Aptos"/>
                <w:b w:val="0"/>
                <w:color w:val="000000"/>
                <w:sz w:val="16"/>
              </w:rPr>
              <w:t>No specialist Digital Technologies knowledge is required. Confirm students can access Google Slides or Google Drawings. Display the required outcome before students begin. Students should use reliable sources, paraphrase rather than copy, and record the URLs or source names they use. The finished outcome is ONE digital slide/infographic, not a multi-slide presentation.</w:t>
            </w:r>
          </w:p>
        </w:tc>
      </w:tr>
    </w:tbl>
    <w:tbl>
      <w:tblPr>
        <w:tblW w:type="auto" w:w="0"/>
        <w:tblLook w:firstColumn="1" w:firstRow="1" w:lastColumn="0" w:lastRow="0" w:noHBand="0" w:noVBand="1" w:val="04A0"/>
      </w:tblPr>
      <w:tblGrid>
        <w:gridCol w:w="10944"/>
      </w:tblGrid>
      <w:tr>
        <w:tc>
          <w:tcPr>
            <w:tcW w:type="dxa" w:w="10944"/>
            <w:vAlign w:val="center"/>
            <w:tcMar>
              <w:top w:w="80" w:type="dxa"/>
              <w:start w:w="90" w:type="dxa"/>
              <w:bottom w:w="80" w:type="dxa"/>
              <w:end w:w="90" w:type="dxa"/>
            </w:tcMar>
            <w:shd w:fill="9E1B0B"/>
          </w:tcPr>
          <w:p>
            <w:r/>
            <w:r>
              <w:rPr>
                <w:rFonts w:ascii="Aptos" w:hAnsi="Aptos"/>
                <w:b/>
                <w:color w:val="FFFFFF"/>
                <w:sz w:val="20"/>
              </w:rPr>
              <w:t>Health &amp; Safety - Digital Technologies classroom</w:t>
            </w:r>
          </w:p>
        </w:tc>
      </w:tr>
      <w:tr>
        <w:tc>
          <w:tcPr>
            <w:tcW w:type="dxa" w:w="10944"/>
            <w:vAlign w:val="center"/>
            <w:tcMar>
              <w:top w:w="80" w:type="dxa"/>
              <w:start w:w="90" w:type="dxa"/>
              <w:bottom w:w="80" w:type="dxa"/>
              <w:end w:w="90" w:type="dxa"/>
            </w:tcMar>
          </w:tcPr>
          <w:p>
            <w:r/>
            <w:r>
              <w:rPr>
                <w:rFonts w:ascii="Aptos" w:hAnsi="Aptos"/>
                <w:b w:val="0"/>
                <w:color w:val="000000"/>
                <w:sz w:val="16"/>
              </w:rPr>
              <w:t>Students remain seated while using Chromebooks, keep bags and charging leads clear of walkways, use school-approved websites, avoid entering personal information into unfamiliar sites, and follow normal classroom expectations for appropriate internet use. No workshop or practical-material hazards are involved.</w:t>
            </w:r>
          </w:p>
        </w:tc>
      </w:tr>
    </w:tbl>
    <w:tbl>
      <w:tblPr>
        <w:tblW w:type="auto" w:w="0"/>
        <w:jc w:val="center"/>
        <w:tblLook w:firstColumn="1" w:firstRow="1" w:lastColumn="0" w:lastRow="0" w:noHBand="0" w:noVBand="1" w:val="04A0"/>
      </w:tblPr>
      <w:tblGrid>
        <w:gridCol w:w="3648"/>
        <w:gridCol w:w="3648"/>
        <w:gridCol w:w="3648"/>
      </w:tblGrid>
      <w:tr>
        <w:tc>
          <w:tcPr>
            <w:tcW w:type="dxa" w:w="3648"/>
            <w:vAlign w:val="center"/>
            <w:tcMar>
              <w:top w:w="80" w:type="dxa"/>
              <w:start w:w="90" w:type="dxa"/>
              <w:bottom w:w="80" w:type="dxa"/>
              <w:end w:w="90" w:type="dxa"/>
            </w:tcMar>
            <w:shd w:fill="9E1B0B"/>
          </w:tcPr>
          <w:p>
            <w:r/>
            <w:r>
              <w:rPr>
                <w:rFonts w:ascii="Aptos" w:hAnsi="Aptos"/>
                <w:b/>
                <w:color w:val="FFFFFF"/>
                <w:sz w:val="20"/>
              </w:rPr>
              <w:t>Starter (max 10 minutes to settle the students)</w:t>
            </w:r>
          </w:p>
        </w:tc>
        <w:tc>
          <w:tcPr>
            <w:tcW w:type="dxa" w:w="3648"/>
            <w:vAlign w:val="center"/>
            <w:tcMar>
              <w:top w:w="80" w:type="dxa"/>
              <w:start w:w="90" w:type="dxa"/>
              <w:bottom w:w="80" w:type="dxa"/>
              <w:end w:w="90" w:type="dxa"/>
            </w:tcMar>
            <w:shd w:fill="9E1B0B"/>
          </w:tcPr>
          <w:p>
            <w:r/>
            <w:r>
              <w:rPr>
                <w:rFonts w:ascii="Aptos" w:hAnsi="Aptos"/>
                <w:b/>
                <w:color w:val="FFFFFF"/>
                <w:sz w:val="18"/>
              </w:rPr>
              <w:t>Time Allocation:</w:t>
            </w:r>
          </w:p>
        </w:tc>
        <w:tc>
          <w:tcPr>
            <w:tcW w:type="dxa" w:w="3648"/>
            <w:vAlign w:val="center"/>
            <w:tcMar>
              <w:top w:w="80" w:type="dxa"/>
              <w:start w:w="90" w:type="dxa"/>
              <w:bottom w:w="80" w:type="dxa"/>
              <w:end w:w="90" w:type="dxa"/>
            </w:tcMar>
          </w:tcPr>
          <w:p>
            <w:r/>
            <w:r>
              <w:rPr>
                <w:rFonts w:ascii="Aptos" w:hAnsi="Aptos"/>
                <w:b w:val="0"/>
                <w:color w:val="000000"/>
                <w:sz w:val="18"/>
              </w:rPr>
              <w:t>5 mins</w:t>
            </w:r>
          </w:p>
        </w:tc>
      </w:tr>
      <w:tr>
        <w:tc>
          <w:tcPr>
            <w:tcW w:type="dxa" w:w="10944"/>
            <w:gridSpan w:val="3"/>
            <w:tcMar>
              <w:top w:w="60" w:type="dxa"/>
              <w:start w:w="90" w:type="dxa"/>
              <w:bottom w:w="60" w:type="dxa"/>
              <w:end w:w="90" w:type="dxa"/>
            </w:tcMar>
          </w:tcPr>
          <w:p>
            <w:pPr>
              <w:spacing w:after="24"/>
            </w:pPr>
            <w:r/>
            <w:r>
              <w:rPr>
                <w:sz w:val="16"/>
              </w:rPr>
              <w:t>• Prompt: “A technology solves a problem today but creates an environmental problem later. Who is responsible for fixing it?” Students write a brief response.</w:t>
            </w:r>
          </w:p>
          <w:p>
            <w:pPr>
              <w:spacing w:after="24"/>
            </w:pPr>
            <w:r>
              <w:rPr>
                <w:sz w:val="16"/>
              </w:rPr>
              <w:t>• Ask students what they already know about ozone. Establish that ozone depletion and climate change are different environmental issues.</w:t>
            </w:r>
          </w:p>
        </w:tc>
      </w:tr>
      <w:tr>
        <w:tc>
          <w:tcPr>
            <w:tcW w:type="dxa" w:w="3648"/>
            <w:vAlign w:val="center"/>
            <w:tcMar>
              <w:top w:w="80" w:type="dxa"/>
              <w:start w:w="90" w:type="dxa"/>
              <w:bottom w:w="80" w:type="dxa"/>
              <w:end w:w="90" w:type="dxa"/>
            </w:tcMar>
            <w:shd w:fill="9E1B0B"/>
          </w:tcPr>
          <w:p>
            <w:r/>
            <w:r>
              <w:rPr>
                <w:rFonts w:ascii="Aptos" w:hAnsi="Aptos"/>
                <w:b/>
                <w:color w:val="FFFFFF"/>
                <w:sz w:val="20"/>
              </w:rPr>
              <w:t>Demonstration</w:t>
            </w:r>
          </w:p>
        </w:tc>
        <w:tc>
          <w:tcPr>
            <w:tcW w:type="dxa" w:w="3648"/>
            <w:vAlign w:val="center"/>
            <w:tcMar>
              <w:top w:w="80" w:type="dxa"/>
              <w:start w:w="90" w:type="dxa"/>
              <w:bottom w:w="80" w:type="dxa"/>
              <w:end w:w="90" w:type="dxa"/>
            </w:tcMar>
            <w:shd w:fill="9E1B0B"/>
          </w:tcPr>
          <w:p>
            <w:r/>
            <w:r>
              <w:rPr>
                <w:rFonts w:ascii="Aptos" w:hAnsi="Aptos"/>
                <w:b/>
                <w:color w:val="FFFFFF"/>
                <w:sz w:val="18"/>
              </w:rPr>
              <w:t>Time Allocation:</w:t>
            </w:r>
          </w:p>
        </w:tc>
        <w:tc>
          <w:tcPr>
            <w:tcW w:type="dxa" w:w="3648"/>
            <w:vAlign w:val="center"/>
            <w:tcMar>
              <w:top w:w="80" w:type="dxa"/>
              <w:start w:w="90" w:type="dxa"/>
              <w:bottom w:w="80" w:type="dxa"/>
              <w:end w:w="90" w:type="dxa"/>
            </w:tcMar>
          </w:tcPr>
          <w:p>
            <w:r/>
            <w:r>
              <w:rPr>
                <w:rFonts w:ascii="Aptos" w:hAnsi="Aptos"/>
                <w:b w:val="0"/>
                <w:color w:val="000000"/>
                <w:sz w:val="18"/>
              </w:rPr>
              <w:t>10 mins</w:t>
            </w:r>
          </w:p>
        </w:tc>
      </w:tr>
      <w:tr>
        <w:tc>
          <w:tcPr>
            <w:tcW w:type="dxa" w:w="10944"/>
            <w:gridSpan w:val="3"/>
            <w:tcMar>
              <w:top w:w="60" w:type="dxa"/>
              <w:start w:w="90" w:type="dxa"/>
              <w:bottom w:w="60" w:type="dxa"/>
              <w:end w:w="90" w:type="dxa"/>
            </w:tcMar>
          </w:tcPr>
          <w:p>
            <w:pPr>
              <w:spacing w:after="24"/>
            </w:pPr>
            <w:r/>
            <w:r>
              <w:rPr>
                <w:sz w:val="16"/>
              </w:rPr>
              <w:t>• Introduce the chain: useful technology → unintended consequence → evidence identifies problem → technology/policy changes → recovery.</w:t>
            </w:r>
          </w:p>
          <w:p>
            <w:pPr>
              <w:spacing w:after="24"/>
            </w:pPr>
            <w:r>
              <w:rPr>
                <w:sz w:val="16"/>
              </w:rPr>
              <w:t>• Key knowledge: stratospheric ozone absorbs harmful UV radiation; CFCs and other ozone-depleting substances were widely used in technologies such as refrigeration, air-conditioning and aerosols; the Montreal Protocol was agreed in 1987.</w:t>
            </w:r>
          </w:p>
          <w:p>
            <w:pPr>
              <w:spacing w:after="24"/>
            </w:pPr>
            <w:r>
              <w:rPr>
                <w:sz w:val="16"/>
              </w:rPr>
              <w:t>• Model source checking: Who published this? Why should I trust them? Is the information current/relevant? Can another reliable source support it?</w:t>
            </w:r>
          </w:p>
          <w:p>
            <w:pPr>
              <w:spacing w:after="24"/>
            </w:pPr>
            <w:r>
              <w:rPr>
                <w:sz w:val="16"/>
              </w:rPr>
              <w:t>• Model a strong infographic: visual hierarchy, short evidence-based statements, meaningful icons/images, arrows/relationships, consistent formatting and a source section.</w:t>
            </w:r>
          </w:p>
        </w:tc>
      </w:tr>
      <w:tr>
        <w:tc>
          <w:tcPr>
            <w:tcW w:type="dxa" w:w="3648"/>
            <w:vAlign w:val="center"/>
            <w:tcMar>
              <w:top w:w="80" w:type="dxa"/>
              <w:start w:w="90" w:type="dxa"/>
              <w:bottom w:w="80" w:type="dxa"/>
              <w:end w:w="90" w:type="dxa"/>
            </w:tcMar>
            <w:shd w:fill="9E1B0B"/>
          </w:tcPr>
          <w:p>
            <w:r/>
            <w:r>
              <w:rPr>
                <w:rFonts w:ascii="Aptos" w:hAnsi="Aptos"/>
                <w:b/>
                <w:color w:val="FFFFFF"/>
                <w:sz w:val="20"/>
              </w:rPr>
              <w:t>Practice</w:t>
            </w:r>
          </w:p>
        </w:tc>
        <w:tc>
          <w:tcPr>
            <w:tcW w:type="dxa" w:w="3648"/>
            <w:vAlign w:val="center"/>
            <w:tcMar>
              <w:top w:w="80" w:type="dxa"/>
              <w:start w:w="90" w:type="dxa"/>
              <w:bottom w:w="80" w:type="dxa"/>
              <w:end w:w="90" w:type="dxa"/>
            </w:tcMar>
            <w:shd w:fill="9E1B0B"/>
          </w:tcPr>
          <w:p>
            <w:r/>
            <w:r>
              <w:rPr>
                <w:rFonts w:ascii="Aptos" w:hAnsi="Aptos"/>
                <w:b/>
                <w:color w:val="FFFFFF"/>
                <w:sz w:val="18"/>
              </w:rPr>
              <w:t>Time Allocation:</w:t>
            </w:r>
          </w:p>
        </w:tc>
        <w:tc>
          <w:tcPr>
            <w:tcW w:type="dxa" w:w="3648"/>
            <w:vAlign w:val="center"/>
            <w:tcMar>
              <w:top w:w="80" w:type="dxa"/>
              <w:start w:w="90" w:type="dxa"/>
              <w:bottom w:w="80" w:type="dxa"/>
              <w:end w:w="90" w:type="dxa"/>
            </w:tcMar>
          </w:tcPr>
          <w:p>
            <w:r/>
            <w:r>
              <w:rPr>
                <w:rFonts w:ascii="Aptos" w:hAnsi="Aptos"/>
                <w:b w:val="0"/>
                <w:color w:val="000000"/>
                <w:sz w:val="18"/>
              </w:rPr>
              <w:t>40 mins</w:t>
            </w:r>
          </w:p>
        </w:tc>
      </w:tr>
      <w:tr>
        <w:tc>
          <w:tcPr>
            <w:tcW w:type="dxa" w:w="10944"/>
            <w:gridSpan w:val="3"/>
            <w:tcMar>
              <w:top w:w="60" w:type="dxa"/>
              <w:start w:w="90" w:type="dxa"/>
              <w:bottom w:w="60" w:type="dxa"/>
              <w:end w:w="90" w:type="dxa"/>
            </w:tcMar>
          </w:tcPr>
          <w:p>
            <w:pPr>
              <w:spacing w:after="24"/>
            </w:pPr>
            <w:r/>
            <w:r>
              <w:rPr>
                <w:sz w:val="16"/>
              </w:rPr>
              <w:t>• Create ONE digital infographic in Google Slides or Google Drawings titled “Ozone: When Technology Has to Fix Technology”.</w:t>
            </w:r>
          </w:p>
          <w:p>
            <w:pPr>
              <w:spacing w:after="24"/>
            </w:pPr>
            <w:r>
              <w:rPr>
                <w:sz w:val="16"/>
              </w:rPr>
              <w:t>• Section 1 – THE NEED: What useful problem did CFC-based technologies originally help solve?</w:t>
            </w:r>
          </w:p>
          <w:p>
            <w:pPr>
              <w:spacing w:after="24"/>
            </w:pPr>
            <w:r>
              <w:rPr>
                <w:sz w:val="16"/>
              </w:rPr>
              <w:t>• Section 2 – THE CONSEQUENCE: How did ozone-depleting substances affect stratospheric ozone, and why did this matter?</w:t>
            </w:r>
          </w:p>
          <w:p>
            <w:pPr>
              <w:spacing w:after="24"/>
            </w:pPr>
            <w:r>
              <w:rPr>
                <w:sz w:val="16"/>
              </w:rPr>
              <w:t>• Section 3 – THE RESPONSE: Explain the Montreal Protocol and identify at least one technological change that reduced reliance on ozone-depleting substances.</w:t>
            </w:r>
          </w:p>
          <w:p>
            <w:pPr>
              <w:spacing w:after="24"/>
            </w:pPr>
            <w:r>
              <w:rPr>
                <w:sz w:val="16"/>
              </w:rPr>
              <w:t>• Section 4 – THE RESULT: What evidence indicates that international action has made a difference? Avoid claiming the ozone layer is already completely restored.</w:t>
            </w:r>
          </w:p>
          <w:p>
            <w:pPr>
              <w:spacing w:after="24"/>
            </w:pPr>
            <w:r>
              <w:rPr>
                <w:sz w:val="16"/>
              </w:rPr>
              <w:t>• Section 5 – AOTEAROA NZ: Include one relevant NZ connection, such as UV exposure, sun protection, refrigeration/cooling technology or NZ's role in controlling ozone-depleting substances.</w:t>
            </w:r>
          </w:p>
          <w:p>
            <w:pPr>
              <w:spacing w:after="24"/>
            </w:pPr>
            <w:r>
              <w:rPr>
                <w:sz w:val="16"/>
              </w:rPr>
              <w:t>• Digital Technologies requirement: communicate the cause-and-effect relationship visually rather than simply writing paragraphs.</w:t>
            </w:r>
          </w:p>
          <w:p>
            <w:pPr>
              <w:spacing w:after="24"/>
            </w:pPr>
            <w:r>
              <w:rPr>
                <w:sz w:val="16"/>
              </w:rPr>
              <w:t>• Use at least TWO reliable sources. Record source names/links. Images must be appropriate and acknowledged where required.</w:t>
            </w:r>
          </w:p>
          <w:p>
            <w:pPr>
              <w:spacing w:after="24"/>
            </w:pPr>
            <w:r>
              <w:rPr>
                <w:sz w:val="16"/>
              </w:rPr>
              <w:t>• Extension: add a 2–3 sentence evaluation answering: “Does the ozone story show that technological progress is always positive? Explain.”</w:t>
            </w:r>
          </w:p>
          <w:p>
            <w:pPr>
              <w:spacing w:after="24"/>
            </w:pPr>
            <w:r>
              <w:rPr>
                <w:sz w:val="16"/>
              </w:rPr>
              <w:t>• Quality test: give the infographic to another student for 30 seconds. They should be able to identify the problem, response and result without verbal explanation.</w:t>
            </w:r>
          </w:p>
        </w:tc>
      </w:tr>
      <w:tr>
        <w:tc>
          <w:tcPr>
            <w:tcW w:type="dxa" w:w="3648"/>
            <w:vAlign w:val="center"/>
            <w:tcMar>
              <w:top w:w="80" w:type="dxa"/>
              <w:start w:w="90" w:type="dxa"/>
              <w:bottom w:w="80" w:type="dxa"/>
              <w:end w:w="90" w:type="dxa"/>
            </w:tcMar>
            <w:shd w:fill="9E1B0B"/>
          </w:tcPr>
          <w:p>
            <w:r/>
            <w:r>
              <w:rPr>
                <w:rFonts w:ascii="Aptos" w:hAnsi="Aptos"/>
                <w:b/>
                <w:color w:val="FFFFFF"/>
                <w:sz w:val="20"/>
              </w:rPr>
              <w:t>Plenary (bring together, complete pack up activities)</w:t>
            </w:r>
          </w:p>
        </w:tc>
        <w:tc>
          <w:tcPr>
            <w:tcW w:type="dxa" w:w="3648"/>
            <w:vAlign w:val="center"/>
            <w:tcMar>
              <w:top w:w="80" w:type="dxa"/>
              <w:start w:w="90" w:type="dxa"/>
              <w:bottom w:w="80" w:type="dxa"/>
              <w:end w:w="90" w:type="dxa"/>
            </w:tcMar>
            <w:shd w:fill="9E1B0B"/>
          </w:tcPr>
          <w:p>
            <w:r/>
            <w:r>
              <w:rPr>
                <w:rFonts w:ascii="Aptos" w:hAnsi="Aptos"/>
                <w:b/>
                <w:color w:val="FFFFFF"/>
                <w:sz w:val="18"/>
              </w:rPr>
              <w:t>Time Allocation:</w:t>
            </w:r>
          </w:p>
        </w:tc>
        <w:tc>
          <w:tcPr>
            <w:tcW w:type="dxa" w:w="3648"/>
            <w:vAlign w:val="center"/>
            <w:tcMar>
              <w:top w:w="80" w:type="dxa"/>
              <w:start w:w="90" w:type="dxa"/>
              <w:bottom w:w="80" w:type="dxa"/>
              <w:end w:w="90" w:type="dxa"/>
            </w:tcMar>
          </w:tcPr>
          <w:p>
            <w:r/>
            <w:r>
              <w:rPr>
                <w:rFonts w:ascii="Aptos" w:hAnsi="Aptos"/>
                <w:b w:val="0"/>
                <w:color w:val="000000"/>
                <w:sz w:val="18"/>
              </w:rPr>
              <w:t>5 mins</w:t>
            </w:r>
          </w:p>
        </w:tc>
      </w:tr>
      <w:tr>
        <w:tc>
          <w:tcPr>
            <w:tcW w:type="dxa" w:w="10944"/>
            <w:gridSpan w:val="3"/>
            <w:tcMar>
              <w:top w:w="60" w:type="dxa"/>
              <w:start w:w="90" w:type="dxa"/>
              <w:bottom w:w="60" w:type="dxa"/>
              <w:end w:w="90" w:type="dxa"/>
            </w:tcMar>
          </w:tcPr>
          <w:p>
            <w:pPr>
              <w:spacing w:after="24"/>
            </w:pPr>
            <w:r/>
            <w:r>
              <w:rPr>
                <w:sz w:val="16"/>
              </w:rPr>
              <w:t>• Peer check using three questions: Is the science understandable? Is the technology connection obvious? Can you tell where the information came from?</w:t>
            </w:r>
          </w:p>
          <w:p>
            <w:pPr>
              <w:spacing w:after="24"/>
            </w:pPr>
            <w:r>
              <w:rPr>
                <w:sz w:val="16"/>
              </w:rPr>
              <w:t>• Exit response: “One lesson designers and technologists should learn from the ozone-layer problem is…”</w:t>
            </w:r>
          </w:p>
          <w:p>
            <w:pPr>
              <w:spacing w:after="24"/>
            </w:pPr>
            <w:r>
              <w:rPr>
                <w:sz w:val="16"/>
              </w:rPr>
              <w:t>• Save as Surname_OzoneDay_2027 and submit/share according to normal class procedures.</w:t>
            </w:r>
          </w:p>
        </w:tc>
      </w:tr>
    </w:tbl>
    <w:tbl>
      <w:tblPr>
        <w:tblW w:type="auto" w:w="0"/>
        <w:tblLook w:firstColumn="1" w:firstRow="1" w:lastColumn="0" w:lastRow="0" w:noHBand="0" w:noVBand="1" w:val="04A0"/>
      </w:tblPr>
      <w:tblGrid>
        <w:gridCol w:w="10944"/>
      </w:tblGrid>
      <w:tr>
        <w:tc>
          <w:tcPr>
            <w:tcW w:type="dxa" w:w="10944"/>
            <w:vAlign w:val="center"/>
            <w:tcMar>
              <w:top w:w="80" w:type="dxa"/>
              <w:start w:w="90" w:type="dxa"/>
              <w:bottom w:w="80" w:type="dxa"/>
              <w:end w:w="90" w:type="dxa"/>
            </w:tcMar>
            <w:shd w:fill="9E1B0B"/>
          </w:tcPr>
          <w:p>
            <w:r/>
            <w:r>
              <w:rPr>
                <w:rFonts w:ascii="Aptos" w:hAnsi="Aptos"/>
                <w:b/>
                <w:color w:val="FFFFFF"/>
                <w:sz w:val="20"/>
              </w:rPr>
              <w:t>Homework</w:t>
            </w:r>
          </w:p>
        </w:tc>
      </w:tr>
      <w:tr>
        <w:tc>
          <w:tcPr>
            <w:tcW w:type="dxa" w:w="10944"/>
            <w:vAlign w:val="center"/>
            <w:tcMar>
              <w:top w:w="80" w:type="dxa"/>
              <w:start w:w="90" w:type="dxa"/>
              <w:bottom w:w="80" w:type="dxa"/>
              <w:end w:w="90" w:type="dxa"/>
            </w:tcMar>
          </w:tcPr>
          <w:p>
            <w:r/>
            <w:r>
              <w:rPr>
                <w:rFonts w:ascii="Aptos" w:hAnsi="Aptos"/>
                <w:b w:val="0"/>
                <w:color w:val="000000"/>
                <w:sz w:val="16"/>
              </w:rPr>
              <w:t>None. If unfinished, students may complete the infographic only if normal class procedures allow.</w:t>
            </w:r>
          </w:p>
        </w:tc>
      </w:tr>
    </w:tbl>
    <w:p>
      <w:r>
        <w:br w:type="page"/>
      </w:r>
    </w:p>
    <w:p>
      <w:pPr>
        <w:jc w:val="center"/>
      </w:pPr>
      <w:r>
        <w:rPr>
          <w:b/>
          <w:color w:val="7E1A0C"/>
          <w:sz w:val="26"/>
        </w:rPr>
        <w:t>Lesson Evaluation</w:t>
      </w:r>
    </w:p>
    <w:tbl>
      <w:tblPr>
        <w:tblW w:type="auto" w:w="0"/>
        <w:tblLook w:firstColumn="1" w:firstRow="1" w:lastColumn="0" w:lastRow="0" w:noHBand="0" w:noVBand="1" w:val="04A0"/>
      </w:tblPr>
      <w:tblGrid>
        <w:gridCol w:w="5472"/>
        <w:gridCol w:w="5472"/>
      </w:tblGrid>
      <w:tr>
        <w:tc>
          <w:tcPr>
            <w:tcW w:type="dxa" w:w="5472"/>
            <w:vAlign w:val="center"/>
            <w:tcMar>
              <w:top w:w="80" w:type="dxa"/>
              <w:start w:w="90" w:type="dxa"/>
              <w:bottom w:w="80" w:type="dxa"/>
              <w:end w:w="90" w:type="dxa"/>
            </w:tcMar>
            <w:shd w:fill="F7F2F0"/>
          </w:tcPr>
          <w:p>
            <w:r/>
            <w:r>
              <w:rPr>
                <w:rFonts w:ascii="Aptos" w:hAnsi="Aptos"/>
                <w:b w:val="0"/>
                <w:color w:val="000000"/>
                <w:sz w:val="18"/>
              </w:rPr>
              <w:t>What went well?</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What didn’t go well?</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What changes do I need to make?</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How will I gather information about the impact of these changes in my practice?</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Did changes made from last time make a difference?</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What are the next steps for my learning?</w:t>
            </w:r>
          </w:p>
        </w:tc>
        <w:tc>
          <w:tcPr>
            <w:tcW w:type="dxa" w:w="5472"/>
            <w:vAlign w:val="center"/>
            <w:tcMar>
              <w:top w:w="80" w:type="dxa"/>
              <w:start w:w="90" w:type="dxa"/>
              <w:bottom w:w="80" w:type="dxa"/>
              <w:end w:w="90" w:type="dxa"/>
            </w:tcMar>
          </w:tcPr>
          <w:p>
            <w:r/>
            <w:r>
              <w:rPr>
                <w:rFonts w:ascii="Aptos" w:hAnsi="Aptos"/>
                <w:b w:val="0"/>
                <w:color w:val="000000"/>
                <w:sz w:val="18"/>
              </w:rPr>
              <w:br/>
              <w:br/>
            </w:r>
          </w:p>
        </w:tc>
      </w:tr>
      <w:tr>
        <w:tc>
          <w:tcPr>
            <w:tcW w:type="dxa" w:w="5472"/>
            <w:vAlign w:val="center"/>
            <w:tcMar>
              <w:top w:w="80" w:type="dxa"/>
              <w:start w:w="90" w:type="dxa"/>
              <w:bottom w:w="80" w:type="dxa"/>
              <w:end w:w="90" w:type="dxa"/>
            </w:tcMar>
            <w:shd w:fill="F7F2F0"/>
          </w:tcPr>
          <w:p>
            <w:r/>
            <w:r>
              <w:rPr>
                <w:rFonts w:ascii="Aptos" w:hAnsi="Aptos"/>
                <w:b w:val="0"/>
                <w:color w:val="000000"/>
                <w:sz w:val="18"/>
              </w:rPr>
              <w:t>Other comments</w:t>
            </w:r>
          </w:p>
        </w:tc>
        <w:tc>
          <w:tcPr>
            <w:tcW w:type="dxa" w:w="5472"/>
            <w:vAlign w:val="center"/>
            <w:tcMar>
              <w:top w:w="80" w:type="dxa"/>
              <w:start w:w="90" w:type="dxa"/>
              <w:bottom w:w="80" w:type="dxa"/>
              <w:end w:w="90" w:type="dxa"/>
            </w:tcMar>
          </w:tcPr>
          <w:p>
            <w:r/>
            <w:r>
              <w:rPr>
                <w:rFonts w:ascii="Aptos" w:hAnsi="Aptos"/>
                <w:b w:val="0"/>
                <w:color w:val="000000"/>
                <w:sz w:val="18"/>
              </w:rPr>
              <w:br/>
              <w:br/>
            </w:r>
          </w:p>
        </w:tc>
      </w:tr>
    </w:tbl>
    <w:p>
      <w:r>
        <w:rPr>
          <w:b/>
          <w:sz w:val="16"/>
        </w:rPr>
        <w:t xml:space="preserve">Reliever note: </w:t>
      </w:r>
      <w:r>
        <w:rPr>
          <w:sz w:val="16"/>
        </w:rPr>
        <w:t>This is a stand-alone lesson. The stronger Year 9/10 expectation is not simply more content: students must show source judgement, cause-and-effect thinking, concise digital communication and some evaluation of technology's consequences.</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