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40" w:after="120"/>
        <w:rPr/>
      </w:pPr>
      <w:r>
        <w:rPr/>
        <w:t>全国博物馆数量增长与文旅产业复苏的数值分析</w:t>
      </w:r>
    </w:p>
    <w:p>
      <w:pPr>
        <w:pStyle w:val="TextBodymeta"/>
        <w:bidi w:val="0"/>
        <w:jc w:val="center"/>
        <w:rPr/>
      </w:pPr>
      <w:r>
        <w:rPr/>
        <w:t>课程：数值技术　文件命名：学号</w:t>
      </w:r>
      <w:r>
        <w:rPr/>
        <w:t>-</w:t>
      </w:r>
      <w:r>
        <w:rPr/>
        <w:t>姓名</w:t>
      </w:r>
      <w:r>
        <w:rPr/>
        <w:t>-</w:t>
      </w:r>
      <w:r>
        <w:rPr/>
        <w:t>数值技术　数据区间：</w:t>
      </w:r>
      <w:r>
        <w:rPr/>
        <w:t xml:space="preserve">2014-2023 </w:t>
      </w:r>
      <w:r>
        <w:rPr/>
        <w:t>年</w:t>
      </w:r>
    </w:p>
    <w:p>
      <w:pPr>
        <w:pStyle w:val="Heading2"/>
        <w:bidi w:val="0"/>
        <w:jc w:val="start"/>
        <w:rPr/>
      </w:pPr>
      <w:r>
        <w:rPr/>
        <w:t>一、选题背景与意义</w:t>
      </w:r>
    </w:p>
    <w:p>
      <w:pPr>
        <w:pStyle w:val="TextBody"/>
        <w:bidi w:val="0"/>
        <w:spacing w:lineRule="auto" w:line="276" w:before="120" w:after="120"/>
        <w:ind w:start="120" w:end="120" w:hanging="0"/>
        <w:jc w:val="start"/>
        <w:rPr/>
      </w:pPr>
      <w:r>
        <w:rPr/>
        <w:t>本文选择“全国博物馆数量增长与文旅产业复苏”作为研究主题，属于数字经济与科技创新方向中的文旅融合场景。博物馆既是公共文化服务设施，也是城市文旅吸引力的重要载体。随着文化数字化战略、智慧文旅平台和沉浸式展示技术推进，博物馆的社会功能已经从单纯收藏展示扩展为公共教育、城市消费和文化传播的复合入口。</w:t>
      </w:r>
    </w:p>
    <w:p>
      <w:pPr>
        <w:pStyle w:val="TextBody"/>
        <w:bidi w:val="0"/>
        <w:spacing w:lineRule="auto" w:line="276" w:before="120" w:after="120"/>
        <w:ind w:start="120" w:end="120" w:hanging="0"/>
        <w:jc w:val="start"/>
        <w:rPr/>
      </w:pPr>
      <w:r>
        <w:rPr/>
        <w:t>从国家发展角度看，公共文化设施供给扩张体现了文化强国建设和基本公共服务改善；从民生角度看，博物馆数量增加意味着居民可获得的文化空间更多；从经济角度看，文旅消费复苏又能带动住宿、餐饮、交通与文创消费。因此，利用数值方法分析博物馆数量、国内游客和旅游总花费之间的演变关系，既能体现课程中的数值微分和拟合技术，也能解释宏观政策和社会生活之间的联系。</w:t>
      </w:r>
    </w:p>
    <w:p>
      <w:pPr>
        <w:pStyle w:val="Heading2"/>
        <w:bidi w:val="0"/>
        <w:jc w:val="start"/>
        <w:rPr/>
      </w:pPr>
      <w:r>
        <w:rPr/>
        <w:t>二、数据获取与预处理</w:t>
      </w:r>
    </w:p>
    <w:p>
      <w:pPr>
        <w:pStyle w:val="TextBody"/>
        <w:bidi w:val="0"/>
        <w:spacing w:lineRule="auto" w:line="276" w:before="120" w:after="120"/>
        <w:ind w:start="120" w:end="120" w:hanging="0"/>
        <w:jc w:val="start"/>
        <w:rPr/>
      </w:pPr>
      <w:r>
        <w:rPr/>
        <w:t xml:space="preserve">数据主要来自中华人民共和国国家统计局国家数据平台及《中国统计年鉴》公开指标。本文选取三个年度指标：全国博物馆数量、国内游客、国内旅游总花费。为便于计算，时间范围统一为 </w:t>
      </w:r>
      <w:r>
        <w:rPr/>
        <w:t xml:space="preserve">2014-2023 </w:t>
      </w:r>
      <w:r>
        <w:rPr/>
        <w:t>年，国内游客单位统一为百万人次，国内旅游总花费单位统一为亿元，博物馆数量单位为个。</w:t>
      </w:r>
    </w:p>
    <w:tbl>
      <w:tblPr>
        <w:tblW w:w="10204" w:type="dxa"/>
        <w:jc w:val="start"/>
        <w:tblInd w:w="28" w:type="dxa"/>
        <w:tblCellMar>
          <w:top w:w="28" w:type="dxa"/>
          <w:start w:w="28" w:type="dxa"/>
          <w:bottom w:w="28" w:type="dxa"/>
          <w:end w:w="28" w:type="dxa"/>
        </w:tblCellMar>
      </w:tblPr>
      <w:tblGrid>
        <w:gridCol w:w="1441"/>
        <w:gridCol w:w="2026"/>
        <w:gridCol w:w="3226"/>
        <w:gridCol w:w="3511"/>
      </w:tblGrid>
      <w:tr>
        <w:trPr/>
        <w:tc>
          <w:tcPr>
            <w:tcW w:w="1441" w:type="dxa"/>
            <w:tcBorders/>
            <w:vAlign w:val="center"/>
          </w:tcPr>
          <w:p>
            <w:pPr>
              <w:pStyle w:val="TableHeading"/>
              <w:suppressLineNumbers/>
              <w:shd w:fill="E3F2FD" w:val="clear"/>
              <w:bidi w:val="0"/>
              <w:spacing w:before="720" w:after="720"/>
              <w:jc w:val="end"/>
              <w:rPr/>
            </w:pPr>
            <w:r>
              <w:rPr/>
              <w:t>年份</w:t>
            </w:r>
          </w:p>
        </w:tc>
        <w:tc>
          <w:tcPr>
            <w:tcW w:w="2026" w:type="dxa"/>
            <w:tcBorders/>
            <w:vAlign w:val="center"/>
          </w:tcPr>
          <w:p>
            <w:pPr>
              <w:pStyle w:val="TableHeading"/>
              <w:suppressLineNumbers/>
              <w:shd w:fill="E3F2FD" w:val="clear"/>
              <w:bidi w:val="0"/>
              <w:spacing w:before="720" w:after="720"/>
              <w:jc w:val="end"/>
              <w:rPr/>
            </w:pPr>
            <w:r>
              <w:rPr/>
              <w:t>博物馆数量</w:t>
            </w:r>
          </w:p>
        </w:tc>
        <w:tc>
          <w:tcPr>
            <w:tcW w:w="3226" w:type="dxa"/>
            <w:tcBorders/>
            <w:vAlign w:val="center"/>
          </w:tcPr>
          <w:p>
            <w:pPr>
              <w:pStyle w:val="TableHeading"/>
              <w:suppressLineNumbers/>
              <w:shd w:fill="E3F2FD" w:val="clear"/>
              <w:bidi w:val="0"/>
              <w:spacing w:before="720" w:after="720"/>
              <w:jc w:val="end"/>
              <w:rPr/>
            </w:pPr>
            <w:r>
              <w:rPr/>
              <w:t>国内游客（百万人次）</w:t>
            </w:r>
          </w:p>
        </w:tc>
        <w:tc>
          <w:tcPr>
            <w:tcW w:w="3511" w:type="dxa"/>
            <w:tcBorders/>
            <w:vAlign w:val="center"/>
          </w:tcPr>
          <w:p>
            <w:pPr>
              <w:pStyle w:val="TableHeading"/>
              <w:suppressLineNumbers/>
              <w:shd w:fill="E3F2FD" w:val="clear"/>
              <w:bidi w:val="0"/>
              <w:spacing w:before="720" w:after="720"/>
              <w:jc w:val="end"/>
              <w:rPr/>
            </w:pPr>
            <w:r>
              <w:rPr/>
              <w:t>国内旅游总花费（亿元）</w:t>
            </w:r>
          </w:p>
        </w:tc>
      </w:tr>
      <w:tr>
        <w:trPr/>
        <w:tc>
          <w:tcPr>
            <w:tcW w:w="1441" w:type="dxa"/>
            <w:tcBorders/>
            <w:vAlign w:val="center"/>
          </w:tcPr>
          <w:p>
            <w:pPr>
              <w:pStyle w:val="TableContents"/>
              <w:suppressLineNumbers/>
              <w:bidi w:val="0"/>
              <w:spacing w:before="720" w:after="720"/>
              <w:jc w:val="end"/>
              <w:rPr/>
            </w:pPr>
            <w:r>
              <w:rPr/>
              <w:t>2014</w:t>
            </w:r>
          </w:p>
        </w:tc>
        <w:tc>
          <w:tcPr>
            <w:tcW w:w="2026" w:type="dxa"/>
            <w:tcBorders/>
            <w:vAlign w:val="center"/>
          </w:tcPr>
          <w:p>
            <w:pPr>
              <w:pStyle w:val="TableContents"/>
              <w:suppressLineNumbers/>
              <w:bidi w:val="0"/>
              <w:spacing w:before="720" w:after="720"/>
              <w:jc w:val="end"/>
              <w:rPr/>
            </w:pPr>
            <w:r>
              <w:rPr/>
              <w:t>3658</w:t>
            </w:r>
          </w:p>
        </w:tc>
        <w:tc>
          <w:tcPr>
            <w:tcW w:w="3226" w:type="dxa"/>
            <w:tcBorders/>
            <w:vAlign w:val="center"/>
          </w:tcPr>
          <w:p>
            <w:pPr>
              <w:pStyle w:val="TableContents"/>
              <w:suppressLineNumbers/>
              <w:bidi w:val="0"/>
              <w:spacing w:before="720" w:after="720"/>
              <w:jc w:val="end"/>
              <w:rPr/>
            </w:pPr>
            <w:r>
              <w:rPr/>
              <w:t>3611</w:t>
            </w:r>
          </w:p>
        </w:tc>
        <w:tc>
          <w:tcPr>
            <w:tcW w:w="3511" w:type="dxa"/>
            <w:tcBorders/>
            <w:vAlign w:val="center"/>
          </w:tcPr>
          <w:p>
            <w:pPr>
              <w:pStyle w:val="TableContents"/>
              <w:suppressLineNumbers/>
              <w:bidi w:val="0"/>
              <w:spacing w:before="720" w:after="720"/>
              <w:jc w:val="end"/>
              <w:rPr/>
            </w:pPr>
            <w:r>
              <w:rPr/>
              <w:t>30311.9</w:t>
            </w:r>
          </w:p>
        </w:tc>
      </w:tr>
      <w:tr>
        <w:trPr/>
        <w:tc>
          <w:tcPr>
            <w:tcW w:w="1441" w:type="dxa"/>
            <w:tcBorders/>
            <w:vAlign w:val="center"/>
          </w:tcPr>
          <w:p>
            <w:pPr>
              <w:pStyle w:val="TableContents"/>
              <w:suppressLineNumbers/>
              <w:bidi w:val="0"/>
              <w:spacing w:before="720" w:after="720"/>
              <w:jc w:val="end"/>
              <w:rPr/>
            </w:pPr>
            <w:r>
              <w:rPr/>
              <w:t>2015</w:t>
            </w:r>
          </w:p>
        </w:tc>
        <w:tc>
          <w:tcPr>
            <w:tcW w:w="2026" w:type="dxa"/>
            <w:tcBorders/>
            <w:vAlign w:val="center"/>
          </w:tcPr>
          <w:p>
            <w:pPr>
              <w:pStyle w:val="TableContents"/>
              <w:suppressLineNumbers/>
              <w:bidi w:val="0"/>
              <w:spacing w:before="720" w:after="720"/>
              <w:jc w:val="end"/>
              <w:rPr/>
            </w:pPr>
            <w:r>
              <w:rPr/>
              <w:t>3852</w:t>
            </w:r>
          </w:p>
        </w:tc>
        <w:tc>
          <w:tcPr>
            <w:tcW w:w="3226" w:type="dxa"/>
            <w:tcBorders/>
            <w:vAlign w:val="center"/>
          </w:tcPr>
          <w:p>
            <w:pPr>
              <w:pStyle w:val="TableContents"/>
              <w:suppressLineNumbers/>
              <w:bidi w:val="0"/>
              <w:spacing w:before="720" w:after="720"/>
              <w:jc w:val="end"/>
              <w:rPr/>
            </w:pPr>
            <w:r>
              <w:rPr/>
              <w:t>4000</w:t>
            </w:r>
          </w:p>
        </w:tc>
        <w:tc>
          <w:tcPr>
            <w:tcW w:w="3511" w:type="dxa"/>
            <w:tcBorders/>
            <w:vAlign w:val="center"/>
          </w:tcPr>
          <w:p>
            <w:pPr>
              <w:pStyle w:val="TableContents"/>
              <w:suppressLineNumbers/>
              <w:bidi w:val="0"/>
              <w:spacing w:before="720" w:after="720"/>
              <w:jc w:val="end"/>
              <w:rPr/>
            </w:pPr>
            <w:r>
              <w:rPr/>
              <w:t>34195.1</w:t>
            </w:r>
          </w:p>
        </w:tc>
      </w:tr>
      <w:tr>
        <w:trPr/>
        <w:tc>
          <w:tcPr>
            <w:tcW w:w="1441" w:type="dxa"/>
            <w:tcBorders/>
            <w:vAlign w:val="center"/>
          </w:tcPr>
          <w:p>
            <w:pPr>
              <w:pStyle w:val="TableContents"/>
              <w:suppressLineNumbers/>
              <w:bidi w:val="0"/>
              <w:spacing w:before="720" w:after="720"/>
              <w:jc w:val="end"/>
              <w:rPr/>
            </w:pPr>
            <w:r>
              <w:rPr/>
              <w:t>2016</w:t>
            </w:r>
          </w:p>
        </w:tc>
        <w:tc>
          <w:tcPr>
            <w:tcW w:w="2026" w:type="dxa"/>
            <w:tcBorders/>
            <w:vAlign w:val="center"/>
          </w:tcPr>
          <w:p>
            <w:pPr>
              <w:pStyle w:val="TableContents"/>
              <w:suppressLineNumbers/>
              <w:bidi w:val="0"/>
              <w:spacing w:before="720" w:after="720"/>
              <w:jc w:val="end"/>
              <w:rPr/>
            </w:pPr>
            <w:r>
              <w:rPr/>
              <w:t>4109</w:t>
            </w:r>
          </w:p>
        </w:tc>
        <w:tc>
          <w:tcPr>
            <w:tcW w:w="3226" w:type="dxa"/>
            <w:tcBorders/>
            <w:vAlign w:val="center"/>
          </w:tcPr>
          <w:p>
            <w:pPr>
              <w:pStyle w:val="TableContents"/>
              <w:suppressLineNumbers/>
              <w:bidi w:val="0"/>
              <w:spacing w:before="720" w:after="720"/>
              <w:jc w:val="end"/>
              <w:rPr/>
            </w:pPr>
            <w:r>
              <w:rPr/>
              <w:t>4440</w:t>
            </w:r>
          </w:p>
        </w:tc>
        <w:tc>
          <w:tcPr>
            <w:tcW w:w="3511" w:type="dxa"/>
            <w:tcBorders/>
            <w:vAlign w:val="center"/>
          </w:tcPr>
          <w:p>
            <w:pPr>
              <w:pStyle w:val="TableContents"/>
              <w:suppressLineNumbers/>
              <w:bidi w:val="0"/>
              <w:spacing w:before="720" w:after="720"/>
              <w:jc w:val="end"/>
              <w:rPr/>
            </w:pPr>
            <w:r>
              <w:rPr/>
              <w:t>39390.0</w:t>
            </w:r>
          </w:p>
        </w:tc>
      </w:tr>
      <w:tr>
        <w:trPr/>
        <w:tc>
          <w:tcPr>
            <w:tcW w:w="1441" w:type="dxa"/>
            <w:tcBorders/>
            <w:vAlign w:val="center"/>
          </w:tcPr>
          <w:p>
            <w:pPr>
              <w:pStyle w:val="TableContents"/>
              <w:suppressLineNumbers/>
              <w:bidi w:val="0"/>
              <w:spacing w:before="720" w:after="720"/>
              <w:jc w:val="end"/>
              <w:rPr/>
            </w:pPr>
            <w:r>
              <w:rPr/>
              <w:t>2017</w:t>
            </w:r>
          </w:p>
        </w:tc>
        <w:tc>
          <w:tcPr>
            <w:tcW w:w="2026" w:type="dxa"/>
            <w:tcBorders/>
            <w:vAlign w:val="center"/>
          </w:tcPr>
          <w:p>
            <w:pPr>
              <w:pStyle w:val="TableContents"/>
              <w:suppressLineNumbers/>
              <w:bidi w:val="0"/>
              <w:spacing w:before="720" w:after="720"/>
              <w:jc w:val="end"/>
              <w:rPr/>
            </w:pPr>
            <w:r>
              <w:rPr/>
              <w:t>4721</w:t>
            </w:r>
          </w:p>
        </w:tc>
        <w:tc>
          <w:tcPr>
            <w:tcW w:w="3226" w:type="dxa"/>
            <w:tcBorders/>
            <w:vAlign w:val="center"/>
          </w:tcPr>
          <w:p>
            <w:pPr>
              <w:pStyle w:val="TableContents"/>
              <w:suppressLineNumbers/>
              <w:bidi w:val="0"/>
              <w:spacing w:before="720" w:after="720"/>
              <w:jc w:val="end"/>
              <w:rPr/>
            </w:pPr>
            <w:r>
              <w:rPr/>
              <w:t>5001</w:t>
            </w:r>
          </w:p>
        </w:tc>
        <w:tc>
          <w:tcPr>
            <w:tcW w:w="3511" w:type="dxa"/>
            <w:tcBorders/>
            <w:vAlign w:val="center"/>
          </w:tcPr>
          <w:p>
            <w:pPr>
              <w:pStyle w:val="TableContents"/>
              <w:suppressLineNumbers/>
              <w:bidi w:val="0"/>
              <w:spacing w:before="720" w:after="720"/>
              <w:jc w:val="end"/>
              <w:rPr/>
            </w:pPr>
            <w:r>
              <w:rPr/>
              <w:t>45660.9</w:t>
            </w:r>
          </w:p>
        </w:tc>
      </w:tr>
      <w:tr>
        <w:trPr/>
        <w:tc>
          <w:tcPr>
            <w:tcW w:w="1441" w:type="dxa"/>
            <w:tcBorders/>
            <w:vAlign w:val="center"/>
          </w:tcPr>
          <w:p>
            <w:pPr>
              <w:pStyle w:val="TableContents"/>
              <w:suppressLineNumbers/>
              <w:bidi w:val="0"/>
              <w:spacing w:before="720" w:after="720"/>
              <w:jc w:val="end"/>
              <w:rPr/>
            </w:pPr>
            <w:r>
              <w:rPr/>
              <w:t>2018</w:t>
            </w:r>
          </w:p>
        </w:tc>
        <w:tc>
          <w:tcPr>
            <w:tcW w:w="2026" w:type="dxa"/>
            <w:tcBorders/>
            <w:vAlign w:val="center"/>
          </w:tcPr>
          <w:p>
            <w:pPr>
              <w:pStyle w:val="TableContents"/>
              <w:suppressLineNumbers/>
              <w:bidi w:val="0"/>
              <w:spacing w:before="720" w:after="720"/>
              <w:jc w:val="end"/>
              <w:rPr/>
            </w:pPr>
            <w:r>
              <w:rPr/>
              <w:t>4918</w:t>
            </w:r>
          </w:p>
        </w:tc>
        <w:tc>
          <w:tcPr>
            <w:tcW w:w="3226" w:type="dxa"/>
            <w:tcBorders/>
            <w:vAlign w:val="center"/>
          </w:tcPr>
          <w:p>
            <w:pPr>
              <w:pStyle w:val="TableContents"/>
              <w:suppressLineNumbers/>
              <w:bidi w:val="0"/>
              <w:spacing w:before="720" w:after="720"/>
              <w:jc w:val="end"/>
              <w:rPr/>
            </w:pPr>
            <w:r>
              <w:rPr/>
              <w:t>5539</w:t>
            </w:r>
          </w:p>
        </w:tc>
        <w:tc>
          <w:tcPr>
            <w:tcW w:w="3511" w:type="dxa"/>
            <w:tcBorders/>
            <w:vAlign w:val="center"/>
          </w:tcPr>
          <w:p>
            <w:pPr>
              <w:pStyle w:val="TableContents"/>
              <w:suppressLineNumbers/>
              <w:bidi w:val="0"/>
              <w:spacing w:before="720" w:after="720"/>
              <w:jc w:val="end"/>
              <w:rPr/>
            </w:pPr>
            <w:r>
              <w:rPr/>
              <w:t>51278.3</w:t>
            </w:r>
          </w:p>
        </w:tc>
      </w:tr>
      <w:tr>
        <w:trPr/>
        <w:tc>
          <w:tcPr>
            <w:tcW w:w="1441" w:type="dxa"/>
            <w:tcBorders/>
            <w:vAlign w:val="center"/>
          </w:tcPr>
          <w:p>
            <w:pPr>
              <w:pStyle w:val="TableContents"/>
              <w:suppressLineNumbers/>
              <w:bidi w:val="0"/>
              <w:spacing w:before="720" w:after="720"/>
              <w:jc w:val="end"/>
              <w:rPr/>
            </w:pPr>
            <w:r>
              <w:rPr/>
              <w:t>2019</w:t>
            </w:r>
          </w:p>
        </w:tc>
        <w:tc>
          <w:tcPr>
            <w:tcW w:w="2026" w:type="dxa"/>
            <w:tcBorders/>
            <w:vAlign w:val="center"/>
          </w:tcPr>
          <w:p>
            <w:pPr>
              <w:pStyle w:val="TableContents"/>
              <w:suppressLineNumbers/>
              <w:bidi w:val="0"/>
              <w:spacing w:before="720" w:after="720"/>
              <w:jc w:val="end"/>
              <w:rPr/>
            </w:pPr>
            <w:r>
              <w:rPr/>
              <w:t>5132</w:t>
            </w:r>
          </w:p>
        </w:tc>
        <w:tc>
          <w:tcPr>
            <w:tcW w:w="3226" w:type="dxa"/>
            <w:tcBorders/>
            <w:vAlign w:val="center"/>
          </w:tcPr>
          <w:p>
            <w:pPr>
              <w:pStyle w:val="TableContents"/>
              <w:suppressLineNumbers/>
              <w:bidi w:val="0"/>
              <w:spacing w:before="720" w:after="720"/>
              <w:jc w:val="end"/>
              <w:rPr/>
            </w:pPr>
            <w:r>
              <w:rPr/>
              <w:t>6006</w:t>
            </w:r>
          </w:p>
        </w:tc>
        <w:tc>
          <w:tcPr>
            <w:tcW w:w="3511" w:type="dxa"/>
            <w:tcBorders/>
            <w:vAlign w:val="center"/>
          </w:tcPr>
          <w:p>
            <w:pPr>
              <w:pStyle w:val="TableContents"/>
              <w:suppressLineNumbers/>
              <w:bidi w:val="0"/>
              <w:spacing w:before="720" w:after="720"/>
              <w:jc w:val="end"/>
              <w:rPr/>
            </w:pPr>
            <w:r>
              <w:rPr/>
              <w:t>57251.0</w:t>
            </w:r>
          </w:p>
        </w:tc>
      </w:tr>
      <w:tr>
        <w:trPr/>
        <w:tc>
          <w:tcPr>
            <w:tcW w:w="1441" w:type="dxa"/>
            <w:tcBorders/>
            <w:vAlign w:val="center"/>
          </w:tcPr>
          <w:p>
            <w:pPr>
              <w:pStyle w:val="TableContents"/>
              <w:suppressLineNumbers/>
              <w:bidi w:val="0"/>
              <w:spacing w:before="720" w:after="720"/>
              <w:jc w:val="end"/>
              <w:rPr/>
            </w:pPr>
            <w:r>
              <w:rPr/>
              <w:t>2020</w:t>
            </w:r>
          </w:p>
        </w:tc>
        <w:tc>
          <w:tcPr>
            <w:tcW w:w="2026" w:type="dxa"/>
            <w:tcBorders/>
            <w:vAlign w:val="center"/>
          </w:tcPr>
          <w:p>
            <w:pPr>
              <w:pStyle w:val="TableContents"/>
              <w:suppressLineNumbers/>
              <w:bidi w:val="0"/>
              <w:spacing w:before="720" w:after="720"/>
              <w:jc w:val="end"/>
              <w:rPr/>
            </w:pPr>
            <w:r>
              <w:rPr/>
              <w:t>5446</w:t>
            </w:r>
          </w:p>
        </w:tc>
        <w:tc>
          <w:tcPr>
            <w:tcW w:w="3226" w:type="dxa"/>
            <w:tcBorders/>
            <w:vAlign w:val="center"/>
          </w:tcPr>
          <w:p>
            <w:pPr>
              <w:pStyle w:val="TableContents"/>
              <w:suppressLineNumbers/>
              <w:bidi w:val="0"/>
              <w:spacing w:before="720" w:after="720"/>
              <w:jc w:val="end"/>
              <w:rPr/>
            </w:pPr>
            <w:r>
              <w:rPr/>
              <w:t>2879</w:t>
            </w:r>
          </w:p>
        </w:tc>
        <w:tc>
          <w:tcPr>
            <w:tcW w:w="3511" w:type="dxa"/>
            <w:tcBorders/>
            <w:vAlign w:val="center"/>
          </w:tcPr>
          <w:p>
            <w:pPr>
              <w:pStyle w:val="TableContents"/>
              <w:suppressLineNumbers/>
              <w:bidi w:val="0"/>
              <w:spacing w:before="720" w:after="720"/>
              <w:jc w:val="end"/>
              <w:rPr/>
            </w:pPr>
            <w:r>
              <w:rPr/>
              <w:t>22286.3</w:t>
            </w:r>
          </w:p>
        </w:tc>
      </w:tr>
      <w:tr>
        <w:trPr/>
        <w:tc>
          <w:tcPr>
            <w:tcW w:w="1441" w:type="dxa"/>
            <w:tcBorders/>
            <w:vAlign w:val="center"/>
          </w:tcPr>
          <w:p>
            <w:pPr>
              <w:pStyle w:val="TableContents"/>
              <w:suppressLineNumbers/>
              <w:bidi w:val="0"/>
              <w:spacing w:before="720" w:after="720"/>
              <w:jc w:val="end"/>
              <w:rPr/>
            </w:pPr>
            <w:r>
              <w:rPr/>
              <w:t>2021</w:t>
            </w:r>
          </w:p>
        </w:tc>
        <w:tc>
          <w:tcPr>
            <w:tcW w:w="2026" w:type="dxa"/>
            <w:tcBorders/>
            <w:vAlign w:val="center"/>
          </w:tcPr>
          <w:p>
            <w:pPr>
              <w:pStyle w:val="TableContents"/>
              <w:suppressLineNumbers/>
              <w:bidi w:val="0"/>
              <w:spacing w:before="720" w:after="720"/>
              <w:jc w:val="end"/>
              <w:rPr/>
            </w:pPr>
            <w:r>
              <w:rPr/>
              <w:t>5772</w:t>
            </w:r>
          </w:p>
        </w:tc>
        <w:tc>
          <w:tcPr>
            <w:tcW w:w="3226" w:type="dxa"/>
            <w:tcBorders/>
            <w:vAlign w:val="center"/>
          </w:tcPr>
          <w:p>
            <w:pPr>
              <w:pStyle w:val="TableContents"/>
              <w:suppressLineNumbers/>
              <w:bidi w:val="0"/>
              <w:spacing w:before="720" w:after="720"/>
              <w:jc w:val="end"/>
              <w:rPr/>
            </w:pPr>
            <w:r>
              <w:rPr/>
              <w:t>3246</w:t>
            </w:r>
          </w:p>
        </w:tc>
        <w:tc>
          <w:tcPr>
            <w:tcW w:w="3511" w:type="dxa"/>
            <w:tcBorders/>
            <w:vAlign w:val="center"/>
          </w:tcPr>
          <w:p>
            <w:pPr>
              <w:pStyle w:val="TableContents"/>
              <w:suppressLineNumbers/>
              <w:bidi w:val="0"/>
              <w:spacing w:before="720" w:after="720"/>
              <w:jc w:val="end"/>
              <w:rPr/>
            </w:pPr>
            <w:r>
              <w:rPr/>
              <w:t>29191.0</w:t>
            </w:r>
          </w:p>
        </w:tc>
      </w:tr>
      <w:tr>
        <w:trPr/>
        <w:tc>
          <w:tcPr>
            <w:tcW w:w="1441" w:type="dxa"/>
            <w:tcBorders/>
            <w:vAlign w:val="center"/>
          </w:tcPr>
          <w:p>
            <w:pPr>
              <w:pStyle w:val="TableContents"/>
              <w:suppressLineNumbers/>
              <w:bidi w:val="0"/>
              <w:spacing w:before="720" w:after="720"/>
              <w:jc w:val="end"/>
              <w:rPr/>
            </w:pPr>
            <w:r>
              <w:rPr/>
              <w:t>2022</w:t>
            </w:r>
          </w:p>
        </w:tc>
        <w:tc>
          <w:tcPr>
            <w:tcW w:w="2026" w:type="dxa"/>
            <w:tcBorders/>
            <w:vAlign w:val="center"/>
          </w:tcPr>
          <w:p>
            <w:pPr>
              <w:pStyle w:val="TableContents"/>
              <w:suppressLineNumbers/>
              <w:bidi w:val="0"/>
              <w:spacing w:before="720" w:after="720"/>
              <w:jc w:val="end"/>
              <w:rPr/>
            </w:pPr>
            <w:r>
              <w:rPr/>
              <w:t>6565</w:t>
            </w:r>
          </w:p>
        </w:tc>
        <w:tc>
          <w:tcPr>
            <w:tcW w:w="3226" w:type="dxa"/>
            <w:tcBorders/>
            <w:vAlign w:val="center"/>
          </w:tcPr>
          <w:p>
            <w:pPr>
              <w:pStyle w:val="TableContents"/>
              <w:suppressLineNumbers/>
              <w:bidi w:val="0"/>
              <w:spacing w:before="720" w:after="720"/>
              <w:jc w:val="end"/>
              <w:rPr/>
            </w:pPr>
            <w:r>
              <w:rPr/>
              <w:t>2530</w:t>
            </w:r>
          </w:p>
        </w:tc>
        <w:tc>
          <w:tcPr>
            <w:tcW w:w="3511" w:type="dxa"/>
            <w:tcBorders/>
            <w:vAlign w:val="center"/>
          </w:tcPr>
          <w:p>
            <w:pPr>
              <w:pStyle w:val="TableContents"/>
              <w:suppressLineNumbers/>
              <w:bidi w:val="0"/>
              <w:spacing w:before="720" w:after="720"/>
              <w:jc w:val="end"/>
              <w:rPr/>
            </w:pPr>
            <w:r>
              <w:rPr/>
              <w:t>20444.0</w:t>
            </w:r>
          </w:p>
        </w:tc>
      </w:tr>
      <w:tr>
        <w:trPr/>
        <w:tc>
          <w:tcPr>
            <w:tcW w:w="1441" w:type="dxa"/>
            <w:tcBorders/>
            <w:vAlign w:val="center"/>
          </w:tcPr>
          <w:p>
            <w:pPr>
              <w:pStyle w:val="TableContents"/>
              <w:suppressLineNumbers/>
              <w:bidi w:val="0"/>
              <w:spacing w:before="720" w:after="720"/>
              <w:jc w:val="end"/>
              <w:rPr/>
            </w:pPr>
            <w:r>
              <w:rPr/>
              <w:t>2023</w:t>
            </w:r>
          </w:p>
        </w:tc>
        <w:tc>
          <w:tcPr>
            <w:tcW w:w="2026" w:type="dxa"/>
            <w:tcBorders/>
            <w:vAlign w:val="center"/>
          </w:tcPr>
          <w:p>
            <w:pPr>
              <w:pStyle w:val="TableContents"/>
              <w:suppressLineNumbers/>
              <w:bidi w:val="0"/>
              <w:spacing w:before="720" w:after="720"/>
              <w:jc w:val="end"/>
              <w:rPr/>
            </w:pPr>
            <w:r>
              <w:rPr/>
              <w:t>6833</w:t>
            </w:r>
          </w:p>
        </w:tc>
        <w:tc>
          <w:tcPr>
            <w:tcW w:w="3226" w:type="dxa"/>
            <w:tcBorders/>
            <w:vAlign w:val="center"/>
          </w:tcPr>
          <w:p>
            <w:pPr>
              <w:pStyle w:val="TableContents"/>
              <w:suppressLineNumbers/>
              <w:bidi w:val="0"/>
              <w:spacing w:before="720" w:after="720"/>
              <w:jc w:val="end"/>
              <w:rPr/>
            </w:pPr>
            <w:r>
              <w:rPr/>
              <w:t>4891</w:t>
            </w:r>
          </w:p>
        </w:tc>
        <w:tc>
          <w:tcPr>
            <w:tcW w:w="3511" w:type="dxa"/>
            <w:tcBorders/>
            <w:vAlign w:val="center"/>
          </w:tcPr>
          <w:p>
            <w:pPr>
              <w:pStyle w:val="TableContents"/>
              <w:suppressLineNumbers/>
              <w:bidi w:val="0"/>
              <w:spacing w:before="720" w:after="720"/>
              <w:jc w:val="end"/>
              <w:rPr/>
            </w:pPr>
            <w:r>
              <w:rPr/>
              <w:t>49133.1</w:t>
            </w:r>
          </w:p>
        </w:tc>
      </w:tr>
    </w:tbl>
    <w:p>
      <w:pPr>
        <w:pStyle w:val="TextBody"/>
        <w:bidi w:val="0"/>
        <w:spacing w:lineRule="auto" w:line="276" w:before="120" w:after="120"/>
        <w:ind w:start="120" w:end="120" w:hanging="0"/>
        <w:jc w:val="start"/>
        <w:rPr/>
      </w:pPr>
      <w:r>
        <w:rPr/>
        <w:t xml:space="preserve">预处理时没有删除 </w:t>
      </w:r>
      <w:r>
        <w:rPr/>
        <w:t xml:space="preserve">2020 </w:t>
      </w:r>
      <w:r>
        <w:rPr/>
        <w:t xml:space="preserve">年数据。原因是 </w:t>
      </w:r>
      <w:r>
        <w:rPr/>
        <w:t xml:space="preserve">2020 </w:t>
      </w:r>
      <w:r>
        <w:rPr/>
        <w:t>年的突降并非普通噪声，而是公共卫生事件带来的真实社会冲击。如果直接删除，会弱化文旅恢复这一主题；如果不做标注，又会让单一趋势模型产生偏差。因此本文采用“统一口径、保留冲击、分段解释”的方法。</w:t>
      </w:r>
    </w:p>
    <w:p>
      <w:pPr>
        <w:pStyle w:val="Heading2"/>
        <w:bidi w:val="0"/>
        <w:jc w:val="start"/>
        <w:rPr/>
      </w:pPr>
      <w:r>
        <w:rPr/>
        <w:t>三、数值建模与算法实现</w:t>
      </w:r>
    </w:p>
    <w:p>
      <w:pPr>
        <w:pStyle w:val="TextBody"/>
        <w:bidi w:val="0"/>
        <w:spacing w:lineRule="auto" w:line="276" w:before="120" w:after="120"/>
        <w:ind w:start="120" w:end="120" w:hanging="0"/>
        <w:jc w:val="start"/>
        <w:rPr/>
      </w:pPr>
      <w:r>
        <w:rPr/>
        <w:t xml:space="preserve">第一种方法是数值微分。由于数据是年度等距采样，令采样间隔 </w:t>
      </w:r>
      <w:r>
        <w:rPr/>
        <w:t>h=1</w:t>
      </w:r>
      <w:r>
        <w:rPr/>
        <w:t>。对内部年份，使用三点中心差分公式：</w:t>
      </w:r>
    </w:p>
    <w:p>
      <w:pPr>
        <w:pStyle w:val="PreformattedText"/>
        <w:bidi w:val="0"/>
        <w:spacing w:before="720" w:after="283"/>
        <w:jc w:val="start"/>
        <w:rPr/>
      </w:pPr>
      <w:r>
        <w:rPr/>
        <w:t>f'(x_i) ≈ [f(x_{i+1}) - f(x_{i-1})] / 2h</w:t>
      </w:r>
    </w:p>
    <w:p>
      <w:pPr>
        <w:pStyle w:val="TextBody"/>
        <w:bidi w:val="0"/>
        <w:spacing w:lineRule="auto" w:line="276" w:before="120" w:after="120"/>
        <w:ind w:start="120" w:end="120" w:hanging="0"/>
        <w:jc w:val="start"/>
        <w:rPr/>
      </w:pPr>
      <w:r>
        <w:rPr/>
        <w:t>首尾年份没有两侧数据，因此分别采用前向差分和后向差分。该方法的社会意义是把“规模变化”转化为“年度边际变化”，从而判断指标是加速、减速还是受到冲击。</w:t>
      </w:r>
    </w:p>
    <w:p>
      <w:pPr>
        <w:pStyle w:val="TextBody"/>
        <w:bidi w:val="0"/>
        <w:spacing w:lineRule="auto" w:line="276" w:before="120" w:after="120"/>
        <w:ind w:start="120" w:end="120" w:hanging="0"/>
        <w:jc w:val="start"/>
        <w:rPr/>
      </w:pPr>
      <w:r>
        <w:rPr/>
        <w:t xml:space="preserve">第二种方法是最小二乘拟合。设线性模型为 </w:t>
      </w:r>
      <w:r>
        <w:rPr/>
        <w:t>y = ax + b</w:t>
      </w:r>
      <w:r>
        <w:rPr/>
        <w:t xml:space="preserve">，通过最小化残差平方和 </w:t>
      </w:r>
      <w:r>
        <w:rPr/>
        <w:t xml:space="preserve">S = Σ[y_i - (ax_i+b)]² </w:t>
      </w:r>
      <w:r>
        <w:rPr/>
        <w:t xml:space="preserve">得到参数。由于 </w:t>
      </w:r>
      <w:r>
        <w:rPr/>
        <w:t xml:space="preserve">2014-2023 </w:t>
      </w:r>
      <w:r>
        <w:rPr/>
        <w:t xml:space="preserve">年全周期包含明显外生冲击，本文不直接用全周期模型进行预测，而是把 </w:t>
      </w:r>
      <w:r>
        <w:rPr/>
        <w:t xml:space="preserve">2020-2023 </w:t>
      </w:r>
      <w:r>
        <w:rPr/>
        <w:t>年作为恢复段，进行短期外推。</w:t>
      </w:r>
    </w:p>
    <w:p>
      <w:pPr>
        <w:pStyle w:val="PreformattedText"/>
        <w:pBdr/>
        <w:shd w:fill="F5F7FA" w:val="clear"/>
        <w:bidi w:val="0"/>
        <w:spacing w:before="720" w:after="0"/>
        <w:jc w:val="start"/>
        <w:rPr/>
      </w:pPr>
      <w:r>
        <w:rPr/>
        <w:t>def three_point_diff(y):</w:t>
      </w:r>
    </w:p>
    <w:p>
      <w:pPr>
        <w:pStyle w:val="PreformattedText"/>
        <w:pBdr/>
        <w:shd w:fill="F5F7FA" w:val="clear"/>
        <w:bidi w:val="0"/>
        <w:spacing w:before="720" w:after="0"/>
        <w:jc w:val="start"/>
        <w:rPr/>
      </w:pPr>
      <w:r>
        <w:rPr/>
        <w:t xml:space="preserve">    </w:t>
      </w:r>
      <w:r>
        <w:rPr/>
        <w:t>out = []</w:t>
      </w:r>
    </w:p>
    <w:p>
      <w:pPr>
        <w:pStyle w:val="PreformattedText"/>
        <w:pBdr/>
        <w:shd w:fill="F5F7FA" w:val="clear"/>
        <w:bidi w:val="0"/>
        <w:spacing w:before="720" w:after="0"/>
        <w:jc w:val="start"/>
        <w:rPr/>
      </w:pPr>
      <w:r>
        <w:rPr/>
        <w:t xml:space="preserve">    </w:t>
      </w:r>
      <w:r>
        <w:rPr/>
        <w:t>for i in range(len(y)):</w:t>
      </w:r>
    </w:p>
    <w:p>
      <w:pPr>
        <w:pStyle w:val="PreformattedText"/>
        <w:pBdr/>
        <w:shd w:fill="F5F7FA" w:val="clear"/>
        <w:bidi w:val="0"/>
        <w:spacing w:before="720" w:after="0"/>
        <w:jc w:val="start"/>
        <w:rPr/>
      </w:pPr>
      <w:r>
        <w:rPr/>
        <w:t xml:space="preserve">        </w:t>
      </w:r>
      <w:r>
        <w:rPr/>
        <w:t>if i == 0:</w:t>
      </w:r>
    </w:p>
    <w:p>
      <w:pPr>
        <w:pStyle w:val="PreformattedText"/>
        <w:pBdr/>
        <w:shd w:fill="F5F7FA" w:val="clear"/>
        <w:bidi w:val="0"/>
        <w:spacing w:before="720" w:after="0"/>
        <w:jc w:val="start"/>
        <w:rPr/>
      </w:pPr>
      <w:r>
        <w:rPr/>
        <w:t xml:space="preserve">            </w:t>
      </w:r>
      <w:r>
        <w:rPr/>
        <w:t>out.append(y[1] - y[0])</w:t>
      </w:r>
    </w:p>
    <w:p>
      <w:pPr>
        <w:pStyle w:val="PreformattedText"/>
        <w:pBdr/>
        <w:shd w:fill="F5F7FA" w:val="clear"/>
        <w:bidi w:val="0"/>
        <w:spacing w:before="720" w:after="0"/>
        <w:jc w:val="start"/>
        <w:rPr/>
      </w:pPr>
      <w:r>
        <w:rPr/>
        <w:t xml:space="preserve">        </w:t>
      </w:r>
      <w:r>
        <w:rPr/>
        <w:t>elif i == len(y) - 1:</w:t>
      </w:r>
    </w:p>
    <w:p>
      <w:pPr>
        <w:pStyle w:val="PreformattedText"/>
        <w:pBdr/>
        <w:shd w:fill="F5F7FA" w:val="clear"/>
        <w:bidi w:val="0"/>
        <w:spacing w:before="720" w:after="0"/>
        <w:jc w:val="start"/>
        <w:rPr/>
      </w:pPr>
      <w:r>
        <w:rPr/>
        <w:t xml:space="preserve">            </w:t>
      </w:r>
      <w:r>
        <w:rPr/>
        <w:t>out.append(y[-1] - y[-2])</w:t>
      </w:r>
    </w:p>
    <w:p>
      <w:pPr>
        <w:pStyle w:val="PreformattedText"/>
        <w:pBdr/>
        <w:shd w:fill="F5F7FA" w:val="clear"/>
        <w:bidi w:val="0"/>
        <w:spacing w:before="720" w:after="0"/>
        <w:jc w:val="start"/>
        <w:rPr/>
      </w:pPr>
      <w:r>
        <w:rPr/>
        <w:t xml:space="preserve">        </w:t>
      </w:r>
      <w:r>
        <w:rPr/>
        <w:t>else:</w:t>
      </w:r>
    </w:p>
    <w:p>
      <w:pPr>
        <w:pStyle w:val="PreformattedText"/>
        <w:pBdr/>
        <w:shd w:fill="F5F7FA" w:val="clear"/>
        <w:bidi w:val="0"/>
        <w:spacing w:before="720" w:after="0"/>
        <w:jc w:val="start"/>
        <w:rPr/>
      </w:pPr>
      <w:r>
        <w:rPr/>
        <w:t xml:space="preserve">            </w:t>
      </w:r>
      <w:r>
        <w:rPr/>
        <w:t>out.append((y[i+1] - y[i-1]) / 2)</w:t>
      </w:r>
    </w:p>
    <w:p>
      <w:pPr>
        <w:pStyle w:val="PreformattedText"/>
        <w:bidi w:val="0"/>
        <w:spacing w:before="720" w:after="283"/>
        <w:jc w:val="start"/>
        <w:rPr/>
      </w:pPr>
      <w:r>
        <w:rPr/>
        <w:t xml:space="preserve">    </w:t>
      </w:r>
      <w:r>
        <w:rPr/>
        <w:t>return out</w:t>
      </w:r>
    </w:p>
    <w:p>
      <w:pPr>
        <w:pStyle w:val="Heading2"/>
        <w:bidi w:val="0"/>
        <w:jc w:val="start"/>
        <w:rPr/>
      </w:pPr>
      <w:r>
        <w:rPr/>
        <w:t>四、计算结果</w:t>
      </w:r>
    </w:p>
    <w:p>
      <w:pPr>
        <w:pStyle w:val="TextBody"/>
        <w:bidi w:val="0"/>
        <w:spacing w:lineRule="auto" w:line="276" w:before="120" w:after="120"/>
        <w:ind w:start="120" w:end="120" w:hanging="0"/>
        <w:jc w:val="start"/>
        <w:rPr/>
      </w:pPr>
      <w:r>
        <w:rPr/>
        <w:t xml:space="preserve">三点差分结果显示，博物馆数量的年度增量整体保持正值，说明公共文化设施供给在冲击期并未停止扩张。相比之下，国内游客变化率在 </w:t>
      </w:r>
      <w:r>
        <w:rPr/>
        <w:t xml:space="preserve">2019-2020 </w:t>
      </w:r>
      <w:r>
        <w:rPr/>
        <w:t>年附近出现显著转负，</w:t>
      </w:r>
      <w:r>
        <w:rPr/>
        <w:t xml:space="preserve">2020 </w:t>
      </w:r>
      <w:r>
        <w:rPr/>
        <w:t xml:space="preserve">年附近估计值约为 </w:t>
      </w:r>
      <w:r>
        <w:rPr/>
        <w:t xml:space="preserve">-1380 </w:t>
      </w:r>
      <w:r>
        <w:rPr/>
        <w:t>百万人次</w:t>
      </w:r>
      <w:r>
        <w:rPr/>
        <w:t>/</w:t>
      </w:r>
      <w:r>
        <w:rPr/>
        <w:t xml:space="preserve">年；到 </w:t>
      </w:r>
      <w:r>
        <w:rPr/>
        <w:t xml:space="preserve">2023 </w:t>
      </w:r>
      <w:r>
        <w:rPr/>
        <w:t xml:space="preserve">年，游客变化率回升至约 </w:t>
      </w:r>
      <w:r>
        <w:rPr/>
        <w:t xml:space="preserve">+2361 </w:t>
      </w:r>
      <w:r>
        <w:rPr/>
        <w:t>百万人次</w:t>
      </w:r>
      <w:r>
        <w:rPr/>
        <w:t>/</w:t>
      </w:r>
      <w:r>
        <w:rPr/>
        <w:t>年，显示需求侧恢复速度明显加快。</w:t>
      </w:r>
    </w:p>
    <w:p>
      <w:pPr>
        <w:pStyle w:val="TextBody"/>
        <w:bidi w:val="0"/>
        <w:spacing w:lineRule="auto" w:line="276" w:before="120" w:after="120"/>
        <w:ind w:start="120" w:end="120" w:hanging="0"/>
        <w:jc w:val="start"/>
        <w:rPr/>
      </w:pPr>
      <w:r>
        <w:rPr/>
        <w:t>相关性分析进一步说明，社会数据不能忽视阶段差异。</w:t>
      </w:r>
      <w:r>
        <w:rPr/>
        <w:t xml:space="preserve">2014-2019 </w:t>
      </w:r>
      <w:r>
        <w:rPr/>
        <w:t xml:space="preserve">年，博物馆数量与国内游客的 </w:t>
      </w:r>
      <w:r>
        <w:rPr/>
        <w:t xml:space="preserve">Pearson </w:t>
      </w:r>
      <w:r>
        <w:rPr/>
        <w:t xml:space="preserve">相关系数约为 </w:t>
      </w:r>
      <w:r>
        <w:rPr/>
        <w:t>0.988</w:t>
      </w:r>
      <w:r>
        <w:rPr/>
        <w:t xml:space="preserve">，与国内旅游总花费的相关系数约为 </w:t>
      </w:r>
      <w:r>
        <w:rPr/>
        <w:t>0.987</w:t>
      </w:r>
      <w:r>
        <w:rPr/>
        <w:t xml:space="preserve">，说明平稳增长期内公共文化供给和文旅需求高度同向。但若把 </w:t>
      </w:r>
      <w:r>
        <w:rPr/>
        <w:t xml:space="preserve">2020 </w:t>
      </w:r>
      <w:r>
        <w:rPr/>
        <w:t xml:space="preserve">年后的冲击期一起纳入，全周期相关系数分别降至 </w:t>
      </w:r>
      <w:r>
        <w:rPr/>
        <w:t xml:space="preserve">-0.175 </w:t>
      </w:r>
      <w:r>
        <w:rPr/>
        <w:t xml:space="preserve">和 </w:t>
      </w:r>
      <w:r>
        <w:rPr/>
        <w:t>-0.065</w:t>
      </w:r>
      <w:r>
        <w:rPr/>
        <w:t>。这并不表示博物馆对旅游没有意义，而是说明疫情等外生冲击改变了需求侧行为，单一相关系数会掩盖阶段机制。</w:t>
      </w:r>
    </w:p>
    <w:p>
      <w:pPr>
        <w:pStyle w:val="TextBody"/>
        <w:bidi w:val="0"/>
        <w:spacing w:lineRule="auto" w:line="276" w:before="120" w:after="120"/>
        <w:ind w:start="120" w:end="120" w:hanging="0"/>
        <w:jc w:val="start"/>
        <w:rPr/>
      </w:pPr>
      <w:r>
        <w:rPr/>
        <w:t xml:space="preserve">基于 </w:t>
      </w:r>
      <w:r>
        <w:rPr/>
        <w:t xml:space="preserve">2020-2023 </w:t>
      </w:r>
      <w:r>
        <w:rPr/>
        <w:t xml:space="preserve">年恢复段进行线性拟合，得到 </w:t>
      </w:r>
      <w:r>
        <w:rPr/>
        <w:t xml:space="preserve">2024-2026 </w:t>
      </w:r>
      <w:r>
        <w:rPr/>
        <w:t>年短期情景预测：</w:t>
      </w:r>
      <w:r>
        <w:rPr/>
        <w:t xml:space="preserve">2026 </w:t>
      </w:r>
      <w:r>
        <w:rPr/>
        <w:t xml:space="preserve">年博物馆数量约为 </w:t>
      </w:r>
      <w:r>
        <w:rPr/>
        <w:t xml:space="preserve">8383 </w:t>
      </w:r>
      <w:r>
        <w:rPr/>
        <w:t xml:space="preserve">个，国内游客约为 </w:t>
      </w:r>
      <w:r>
        <w:rPr/>
        <w:t xml:space="preserve">5780.5 </w:t>
      </w:r>
      <w:r>
        <w:rPr/>
        <w:t xml:space="preserve">百万人次，国内旅游总花费约为 </w:t>
      </w:r>
      <w:r>
        <w:rPr/>
        <w:t xml:space="preserve">62570.6 </w:t>
      </w:r>
      <w:r>
        <w:rPr/>
        <w:t>亿元。该结果只能作为趋势判断，因为样本点较少，且旅游消费容易受到政策、收入预期、交通条件和突发事件影响。</w:t>
      </w:r>
    </w:p>
    <w:p>
      <w:pPr>
        <w:pStyle w:val="Heading2"/>
        <w:bidi w:val="0"/>
        <w:jc w:val="start"/>
        <w:rPr/>
      </w:pPr>
      <w:r>
        <w:rPr/>
        <w:t>五、结果分析与价值阐释</w:t>
      </w:r>
    </w:p>
    <w:p>
      <w:pPr>
        <w:pStyle w:val="TextBody"/>
        <w:bidi w:val="0"/>
        <w:spacing w:lineRule="auto" w:line="276" w:before="120" w:after="120"/>
        <w:ind w:start="120" w:end="120" w:hanging="0"/>
        <w:jc w:val="start"/>
        <w:rPr/>
      </w:pPr>
      <w:r>
        <w:rPr/>
        <w:t>从政策角度看，博物馆数量增长与文化数字化建设相互促进。一方面，更多博物馆意味着公共文化服务网络更密集，能够承接居民文化需求；另一方面，数字展陈、线上预约、智慧导览和文创电商增强了博物馆与旅游消费之间的连接，使文化资源更容易转化为实际消费场景。</w:t>
      </w:r>
    </w:p>
    <w:p>
      <w:pPr>
        <w:pStyle w:val="TextBody"/>
        <w:bidi w:val="0"/>
        <w:spacing w:lineRule="auto" w:line="276" w:before="120" w:after="120"/>
        <w:ind w:start="120" w:end="120" w:hanging="0"/>
        <w:jc w:val="start"/>
        <w:rPr/>
      </w:pPr>
      <w:r>
        <w:rPr/>
        <w:t>从数值结果看，</w:t>
      </w:r>
      <w:r>
        <w:rPr/>
        <w:t xml:space="preserve">2014-2019 </w:t>
      </w:r>
      <w:r>
        <w:rPr/>
        <w:t>年的高相关性反映了平稳扩张期中文化供给和文旅需求共同增长的事实。</w:t>
      </w:r>
      <w:r>
        <w:rPr/>
        <w:t xml:space="preserve">2020 </w:t>
      </w:r>
      <w:r>
        <w:rPr/>
        <w:t>年后相关性下降，则提示我们在分析社会经济数据时，应当识别制度、政策和突发事件带来的结构性变化。三点差分提供了发现拐点的工具，最小二乘分段拟合提供了短期趋势估计的方法，两者结合能够比单纯描述图表更有解释力。</w:t>
      </w:r>
    </w:p>
    <w:p>
      <w:pPr>
        <w:pStyle w:val="Heading2"/>
        <w:bidi w:val="0"/>
        <w:jc w:val="start"/>
        <w:rPr/>
      </w:pPr>
      <w:r>
        <w:rPr/>
        <w:t>六、误差分析与不足</w:t>
      </w:r>
    </w:p>
    <w:p>
      <w:pPr>
        <w:pStyle w:val="TextBody"/>
        <w:bidi w:val="0"/>
        <w:spacing w:lineRule="auto" w:line="276" w:before="120" w:after="120"/>
        <w:ind w:start="120" w:end="120" w:hanging="0"/>
        <w:jc w:val="start"/>
        <w:rPr/>
      </w:pPr>
      <w:r>
        <w:rPr/>
        <w:t>本文的误差主要来自三方面。第一，年度采样间隔较大，无法反映节假日、暑期等月度波动；第二，博物馆数量和游客规模之间可能存在滞后效应，新增供给不一定在当年立即转化为游客增长；第三，社会经济数据存在统计口径调整和外生冲击，导致拟合模型稳定性有限。因此，本文结论应理解为趋势分析和方法展示，而不是精确预测。</w:t>
      </w:r>
    </w:p>
    <w:p>
      <w:pPr>
        <w:pStyle w:val="Heading2"/>
        <w:bidi w:val="0"/>
        <w:jc w:val="start"/>
        <w:rPr/>
      </w:pPr>
      <w:r>
        <w:rPr/>
        <w:t>七、结论</w:t>
      </w:r>
    </w:p>
    <w:p>
      <w:pPr>
        <w:pStyle w:val="TextBody"/>
        <w:bidi w:val="0"/>
        <w:spacing w:lineRule="auto" w:line="276" w:before="120" w:after="120"/>
        <w:ind w:start="120" w:end="120" w:hanging="0"/>
        <w:jc w:val="start"/>
        <w:rPr/>
      </w:pPr>
      <w:r>
        <w:rPr/>
        <w:t xml:space="preserve">本文通过国家统计局相关年度数据构建了 </w:t>
      </w:r>
      <w:r>
        <w:rPr/>
        <w:t xml:space="preserve">2014-2023 </w:t>
      </w:r>
      <w:r>
        <w:rPr/>
        <w:t xml:space="preserve">年时间序列，并使用三点差分、最小二乘拟合和相关性分析研究博物馆数量增长与文旅产业复苏的关系。主要结论是：博物馆数量长期增长，说明公共文化供给持续扩张；文旅需求在 </w:t>
      </w:r>
      <w:r>
        <w:rPr/>
        <w:t xml:space="preserve">2020 </w:t>
      </w:r>
      <w:r>
        <w:rPr/>
        <w:t xml:space="preserve">年受到明显冲击，但 </w:t>
      </w:r>
      <w:r>
        <w:rPr/>
        <w:t xml:space="preserve">2023 </w:t>
      </w:r>
      <w:r>
        <w:rPr/>
        <w:t>年恢复速度显著提高；平稳期内博物馆数量与旅游需求高度同向，但冲击期会削弱全周期相关性。整体来看，文化设施供给是文旅复苏的重要基础，数字化能力则有助于提升供给向消费转化的效率。</w:t>
      </w:r>
    </w:p>
    <w:sectPr>
      <w:type w:val="nextPage"/>
      <w:pgSz w:w="11906" w:h="16838"/>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icrosoft YaHei">
    <w:altName w:val="PingFang SC"/>
    <w:charset w:val="01" w:characterSet="utf-8"/>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96" w:before="720" w:after="720"/>
      <w:ind w:start="720" w:end="720" w:hanging="0"/>
    </w:pPr>
    <w:rPr>
      <w:rFonts w:ascii="Microsoft YaHei;PingFang SC;Arial;sans-serif" w:hAnsi="Microsoft YaHei;PingFang SC;Arial;sans-serif" w:eastAsia="Microsoft YaHei;PingFang SC;Arial;sans-serif" w:cs="Microsoft YaHei;PingFang SC;Arial;sans-serif"/>
      <w:color w:val="222222"/>
      <w:sz w:val="24"/>
      <w:szCs w:val="24"/>
      <w:lang w:val="en-US" w:eastAsia="zh-CN" w:bidi="hi-IN"/>
    </w:rPr>
  </w:style>
  <w:style w:type="paragraph" w:styleId="Heading1">
    <w:name w:val="Heading 1"/>
    <w:basedOn w:val="Heading"/>
    <w:next w:val="TextBody"/>
    <w:qFormat/>
    <w:pPr>
      <w:spacing w:before="240" w:after="120"/>
      <w:jc w:val="center"/>
      <w:outlineLvl w:val="0"/>
    </w:pPr>
    <w:rPr>
      <w:rFonts w:ascii="Liberation Serif" w:hAnsi="Liberation Serif" w:eastAsia="Noto Serif CJK SC" w:cs="Lohit Devanagari"/>
      <w:b/>
      <w:bCs/>
      <w:sz w:val="36"/>
      <w:szCs w:val="36"/>
    </w:rPr>
  </w:style>
  <w:style w:type="paragraph" w:styleId="Heading2">
    <w:name w:val="Heading 2"/>
    <w:basedOn w:val="Heading"/>
    <w:next w:val="TextBody"/>
    <w:qFormat/>
    <w:pPr>
      <w:pBdr>
        <w:left w:val="single" w:sz="30" w:space="7" w:color="1565C0"/>
      </w:pBdr>
      <w:spacing w:before="420" w:after="120"/>
      <w:outlineLvl w:val="1"/>
    </w:pPr>
    <w:rPr>
      <w:rFonts w:ascii="Liberation Serif" w:hAnsi="Liberation Serif" w:eastAsia="Noto Serif CJK SC" w:cs="Lohit Devanagari"/>
      <w:b/>
      <w:bCs/>
      <w:sz w:val="27"/>
      <w:szCs w:val="27"/>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120" w:after="120"/>
      <w:ind w:start="120" w:end="120" w:hanging="0"/>
    </w:pPr>
    <w:rPr>
      <w:sz w:val="21"/>
      <w:szCs w:val="21"/>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pBdr>
        <w:top w:val="single" w:sz="2" w:space="9" w:color="DDE6EF"/>
        <w:left w:val="single" w:sz="2" w:space="9" w:color="DDE6EF"/>
        <w:bottom w:val="single" w:sz="2" w:space="9" w:color="DDE6EF"/>
        <w:right w:val="single" w:sz="2" w:space="9" w:color="DDE6EF"/>
      </w:pBdr>
      <w:shd w:fill="F5F7FA" w:val="clear"/>
      <w:spacing w:before="720" w:after="0"/>
    </w:pPr>
    <w:rPr>
      <w:rFonts w:ascii="Liberation Mono" w:hAnsi="Liberation Mono" w:eastAsia="Noto Sans Mono CJK SC" w:cs="Liberation Mono"/>
      <w:sz w:val="18"/>
      <w:szCs w:val="18"/>
    </w:rPr>
  </w:style>
  <w:style w:type="paragraph" w:styleId="TextBodymeta">
    <w:name w:val="Text Body.meta"/>
    <w:basedOn w:val="TextBody"/>
    <w:qFormat/>
    <w:pPr/>
    <w:rPr>
      <w:color w:val="607D8B"/>
      <w:sz w:val="18"/>
      <w:szCs w:val="18"/>
    </w:rPr>
  </w:style>
  <w:style w:type="paragraph" w:styleId="TableContents">
    <w:name w:val="Table Contents"/>
    <w:basedOn w:val="Normal"/>
    <w:qFormat/>
    <w:pPr>
      <w:suppressLineNumbers/>
      <w:jc w:val="end"/>
    </w:pPr>
    <w:rPr/>
  </w:style>
  <w:style w:type="paragraph" w:styleId="TableHeading">
    <w:name w:val="Table Heading"/>
    <w:basedOn w:val="TableContents"/>
    <w:qFormat/>
    <w:pPr>
      <w:suppressLineNumbers/>
      <w:shd w:fill="E3F2FD" w:val="clear"/>
      <w:jc w:val="end"/>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学号-姓名-数值技术</dc:title>
</cp:coreProperties>
</file>

<file path=docProps/custom.xml><?xml version="1.0" encoding="utf-8"?>
<Properties xmlns="http://schemas.openxmlformats.org/officeDocument/2006/custom-properties" xmlns:vt="http://schemas.openxmlformats.org/officeDocument/2006/docPropsVTypes"/>
</file>