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40" w:after="270"/>
        <w:rPr/>
      </w:pPr>
      <w:r>
        <w:rPr/>
        <w:t>数字经济背景下全国博物馆数量增长与文旅产业复苏的数值分析</w:t>
      </w:r>
    </w:p>
    <w:p>
      <w:pPr>
        <w:pStyle w:val="TextBodymeta"/>
        <w:bidi w:val="0"/>
        <w:jc w:val="center"/>
        <w:rPr/>
      </w:pPr>
      <w:r>
        <w:rPr/>
        <w:t>课程：数值技术 文件命名：学号</w:t>
      </w:r>
      <w:r>
        <w:rPr/>
        <w:t>-</w:t>
      </w:r>
      <w:r>
        <w:rPr/>
        <w:t>姓名</w:t>
      </w:r>
      <w:r>
        <w:rPr/>
        <w:t>-</w:t>
      </w:r>
      <w:r>
        <w:rPr/>
        <w:t>数值技术 数据区间：</w:t>
      </w:r>
      <w:r>
        <w:rPr/>
        <w:t xml:space="preserve">2014-2023 </w:t>
      </w:r>
      <w:r>
        <w:rPr/>
        <w:t>年</w:t>
      </w:r>
    </w:p>
    <w:p>
      <w:pPr>
        <w:pStyle w:val="Heading2"/>
        <w:bidi w:val="0"/>
        <w:jc w:val="start"/>
        <w:rPr/>
      </w:pPr>
      <w:r>
        <w:rPr/>
        <w:t>一、选题背景与意义</w:t>
      </w:r>
    </w:p>
    <w:p>
      <w:pPr>
        <w:pStyle w:val="TextBody"/>
        <w:bidi w:val="0"/>
        <w:spacing w:before="120" w:after="120"/>
        <w:ind w:start="120" w:end="120" w:hanging="0"/>
        <w:jc w:val="start"/>
        <w:rPr/>
      </w:pPr>
      <w:r>
        <w:rPr/>
        <w:t>本文选择“数字经济背景下全国博物馆数量增长与文旅产业复苏”作为研究主题。该主题属于数字经济与科技创新、公共文化服务和文旅融合交叉方向。博物馆不仅是收藏、展示和教育机构，也是城市公共文化服务体系的重要组成部分。近年来，随着文化强国建设、文化数字化战略和智慧文旅建设不断推进，博物馆的功能逐渐从传统展陈扩展到线上预约、智慧导览、数字展厅、沉浸式体验、文创消费和城市旅游传播等场景。</w:t>
      </w:r>
    </w:p>
    <w:p>
      <w:pPr>
        <w:pStyle w:val="TextBody"/>
        <w:bidi w:val="0"/>
        <w:spacing w:before="120" w:after="120"/>
        <w:ind w:start="120" w:end="120" w:hanging="0"/>
        <w:jc w:val="start"/>
        <w:rPr/>
      </w:pPr>
      <w:r>
        <w:rPr/>
        <w:t>从国家发展角度看，博物馆数量增长反映了公共文化设施供给扩张，也体现了国家对文化资源保护、公共文化服务均等化和文旅融合发展的重视。从民生角度看，博物馆数量增加意味着居民能够获得更多文化空间和教育资源。从数字经济角度看，博物馆并不是孤立的线下场馆，而是文化资源进入数字平台、连接游客需求并转化为文旅消费的重要入口。</w:t>
      </w:r>
    </w:p>
    <w:p>
      <w:pPr>
        <w:pStyle w:val="TextBody"/>
        <w:bidi w:val="0"/>
        <w:spacing w:before="120" w:after="120"/>
        <w:ind w:start="120" w:end="120" w:hanging="0"/>
        <w:jc w:val="start"/>
        <w:rPr/>
      </w:pPr>
      <w:r>
        <w:rPr/>
        <w:t>因此，本文以全国博物馆数量、国内游客和国内旅游总花费为核心指标，研究文化供给扩张与文旅需求恢复之间的关系。本文关注的问题是：在数字经济背景下，博物馆供给持续增长是否能够重新转化为游客恢复和消费增长？</w:t>
      </w:r>
      <w:r>
        <w:rPr/>
        <w:t xml:space="preserve">2020 </w:t>
      </w:r>
      <w:r>
        <w:rPr/>
        <w:t>年后的文旅需求冲击能否通过数值方法被识别？</w:t>
      </w:r>
      <w:r>
        <w:rPr/>
        <w:t xml:space="preserve">2023 </w:t>
      </w:r>
      <w:r>
        <w:rPr/>
        <w:t>年的恢复是否已经回到正常增长趋势？这些问题既有现实意义，也适合使用数值微分、最小二乘拟合和误差分析等课程方法进行研究。</w:t>
      </w:r>
    </w:p>
    <w:p>
      <w:pPr>
        <w:pStyle w:val="Heading2"/>
        <w:bidi w:val="0"/>
        <w:jc w:val="start"/>
        <w:rPr/>
      </w:pPr>
      <w:r>
        <w:rPr/>
        <w:t>二、数据获取与预处理</w:t>
      </w:r>
    </w:p>
    <w:p>
      <w:pPr>
        <w:pStyle w:val="TextBody"/>
        <w:bidi w:val="0"/>
        <w:spacing w:before="120" w:after="120"/>
        <w:ind w:start="120" w:end="120" w:hanging="0"/>
        <w:jc w:val="start"/>
        <w:rPr/>
      </w:pPr>
      <w:r>
        <w:rPr/>
        <w:t xml:space="preserve">本文数据主要来自中华人民共和国国家统计局国家数据平台及《中国统计年鉴》公开指标。选取 </w:t>
      </w:r>
      <w:r>
        <w:rPr/>
        <w:t xml:space="preserve">2014-2023 </w:t>
      </w:r>
      <w:r>
        <w:rPr/>
        <w:t>年三个年度指标：全国博物馆数量、国内游客、国内旅游总花费。其中，博物馆数量单位为“个”，国内游客单位统一为“百万人次”，国内旅游总花费单位统一为“亿元”。</w:t>
      </w:r>
    </w:p>
    <w:p>
      <w:pPr>
        <w:pStyle w:val="TextBody"/>
        <w:bidi w:val="0"/>
        <w:spacing w:before="120" w:after="120"/>
        <w:ind w:start="120" w:end="120" w:hanging="0"/>
        <w:jc w:val="start"/>
        <w:rPr/>
      </w:pPr>
      <w:r>
        <w:rPr/>
        <w:t>原始数据如下表所示：</w:t>
      </w:r>
    </w:p>
    <w:tbl>
      <w:tblPr>
        <w:tblW w:w="8870" w:type="dxa"/>
        <w:jc w:val="start"/>
        <w:tblInd w:w="28" w:type="dxa"/>
        <w:tblCellMar>
          <w:top w:w="28" w:type="dxa"/>
          <w:start w:w="28" w:type="dxa"/>
          <w:bottom w:w="28" w:type="dxa"/>
          <w:end w:w="28" w:type="dxa"/>
        </w:tblCellMar>
      </w:tblPr>
      <w:tblGrid>
        <w:gridCol w:w="721"/>
        <w:gridCol w:w="2026"/>
        <w:gridCol w:w="2476"/>
        <w:gridCol w:w="2701"/>
        <w:gridCol w:w="946"/>
      </w:tblGrid>
      <w:tr>
        <w:trPr/>
        <w:tc>
          <w:tcPr>
            <w:tcW w:w="721" w:type="dxa"/>
            <w:tcBorders/>
            <w:vAlign w:val="center"/>
          </w:tcPr>
          <w:p>
            <w:pPr>
              <w:pStyle w:val="TableHeading"/>
              <w:suppressLineNumbers/>
              <w:shd w:fill="EEF2F7" w:val="clear"/>
              <w:bidi w:val="0"/>
              <w:spacing w:before="120" w:after="120"/>
              <w:jc w:val="center"/>
              <w:rPr/>
            </w:pPr>
            <w:r>
              <w:rPr/>
              <w:t>年份</w:t>
            </w:r>
          </w:p>
        </w:tc>
        <w:tc>
          <w:tcPr>
            <w:tcW w:w="2026" w:type="dxa"/>
            <w:tcBorders/>
            <w:vAlign w:val="center"/>
          </w:tcPr>
          <w:p>
            <w:pPr>
              <w:pStyle w:val="TableHeading"/>
              <w:suppressLineNumbers/>
              <w:shd w:fill="EEF2F7" w:val="clear"/>
              <w:bidi w:val="0"/>
              <w:spacing w:before="120" w:after="120"/>
              <w:jc w:val="center"/>
              <w:rPr/>
            </w:pPr>
            <w:r>
              <w:rPr/>
              <w:t>博物馆数量（个）</w:t>
            </w:r>
          </w:p>
        </w:tc>
        <w:tc>
          <w:tcPr>
            <w:tcW w:w="2476" w:type="dxa"/>
            <w:tcBorders/>
            <w:vAlign w:val="center"/>
          </w:tcPr>
          <w:p>
            <w:pPr>
              <w:pStyle w:val="TableHeading"/>
              <w:suppressLineNumbers/>
              <w:shd w:fill="EEF2F7" w:val="clear"/>
              <w:bidi w:val="0"/>
              <w:spacing w:before="120" w:after="120"/>
              <w:jc w:val="center"/>
              <w:rPr/>
            </w:pPr>
            <w:r>
              <w:rPr/>
              <w:t>国内游客（百万人次）</w:t>
            </w:r>
          </w:p>
        </w:tc>
        <w:tc>
          <w:tcPr>
            <w:tcW w:w="2701" w:type="dxa"/>
            <w:tcBorders/>
            <w:vAlign w:val="center"/>
          </w:tcPr>
          <w:p>
            <w:pPr>
              <w:pStyle w:val="TableHeading"/>
              <w:suppressLineNumbers/>
              <w:shd w:fill="EEF2F7" w:val="clear"/>
              <w:bidi w:val="0"/>
              <w:spacing w:before="120" w:after="120"/>
              <w:jc w:val="center"/>
              <w:rPr/>
            </w:pPr>
            <w:r>
              <w:rPr/>
              <w:t>国内旅游总花费（亿元）</w:t>
            </w:r>
          </w:p>
        </w:tc>
        <w:tc>
          <w:tcPr>
            <w:tcW w:w="946" w:type="dxa"/>
            <w:tcBorders/>
            <w:vAlign w:val="center"/>
          </w:tcPr>
          <w:p>
            <w:pPr>
              <w:pStyle w:val="TableHeading"/>
              <w:suppressLineNumbers/>
              <w:shd w:fill="EEF2F7" w:val="clear"/>
              <w:bidi w:val="0"/>
              <w:spacing w:before="120" w:after="120"/>
              <w:jc w:val="center"/>
              <w:rPr/>
            </w:pPr>
            <w:r>
              <w:rPr/>
              <w:t>阶段</w:t>
            </w:r>
          </w:p>
        </w:tc>
      </w:tr>
      <w:tr>
        <w:trPr/>
        <w:tc>
          <w:tcPr>
            <w:tcW w:w="721" w:type="dxa"/>
            <w:tcBorders/>
            <w:vAlign w:val="center"/>
          </w:tcPr>
          <w:p>
            <w:pPr>
              <w:pStyle w:val="TableContents"/>
              <w:bidi w:val="0"/>
              <w:spacing w:before="120" w:after="120"/>
              <w:jc w:val="center"/>
              <w:rPr/>
            </w:pPr>
            <w:r>
              <w:rPr/>
              <w:t>2014</w:t>
            </w:r>
          </w:p>
        </w:tc>
        <w:tc>
          <w:tcPr>
            <w:tcW w:w="2026" w:type="dxa"/>
            <w:tcBorders/>
            <w:vAlign w:val="center"/>
          </w:tcPr>
          <w:p>
            <w:pPr>
              <w:pStyle w:val="TableContents"/>
              <w:bidi w:val="0"/>
              <w:spacing w:before="120" w:after="120"/>
              <w:jc w:val="center"/>
              <w:rPr/>
            </w:pPr>
            <w:r>
              <w:rPr/>
              <w:t>3658</w:t>
            </w:r>
          </w:p>
        </w:tc>
        <w:tc>
          <w:tcPr>
            <w:tcW w:w="2476" w:type="dxa"/>
            <w:tcBorders/>
            <w:vAlign w:val="center"/>
          </w:tcPr>
          <w:p>
            <w:pPr>
              <w:pStyle w:val="TableContents"/>
              <w:bidi w:val="0"/>
              <w:spacing w:before="120" w:after="120"/>
              <w:jc w:val="center"/>
              <w:rPr/>
            </w:pPr>
            <w:r>
              <w:rPr/>
              <w:t>3611</w:t>
            </w:r>
          </w:p>
        </w:tc>
        <w:tc>
          <w:tcPr>
            <w:tcW w:w="2701" w:type="dxa"/>
            <w:tcBorders/>
            <w:vAlign w:val="center"/>
          </w:tcPr>
          <w:p>
            <w:pPr>
              <w:pStyle w:val="TableContents"/>
              <w:bidi w:val="0"/>
              <w:spacing w:before="120" w:after="120"/>
              <w:jc w:val="center"/>
              <w:rPr/>
            </w:pPr>
            <w:r>
              <w:rPr/>
              <w:t>30311.9</w:t>
            </w:r>
          </w:p>
        </w:tc>
        <w:tc>
          <w:tcPr>
            <w:tcW w:w="946" w:type="dxa"/>
            <w:tcBorders/>
            <w:vAlign w:val="center"/>
          </w:tcPr>
          <w:p>
            <w:pPr>
              <w:pStyle w:val="TableContents"/>
              <w:bidi w:val="0"/>
              <w:spacing w:before="120" w:after="120"/>
              <w:jc w:val="center"/>
              <w:rPr/>
            </w:pPr>
            <w:r>
              <w:rPr/>
              <w:t>增长期</w:t>
            </w:r>
          </w:p>
        </w:tc>
      </w:tr>
      <w:tr>
        <w:trPr/>
        <w:tc>
          <w:tcPr>
            <w:tcW w:w="721" w:type="dxa"/>
            <w:tcBorders/>
            <w:vAlign w:val="center"/>
          </w:tcPr>
          <w:p>
            <w:pPr>
              <w:pStyle w:val="TableContents"/>
              <w:bidi w:val="0"/>
              <w:spacing w:before="120" w:after="120"/>
              <w:jc w:val="center"/>
              <w:rPr/>
            </w:pPr>
            <w:r>
              <w:rPr/>
              <w:t>2015</w:t>
            </w:r>
          </w:p>
        </w:tc>
        <w:tc>
          <w:tcPr>
            <w:tcW w:w="2026" w:type="dxa"/>
            <w:tcBorders/>
            <w:vAlign w:val="center"/>
          </w:tcPr>
          <w:p>
            <w:pPr>
              <w:pStyle w:val="TableContents"/>
              <w:bidi w:val="0"/>
              <w:spacing w:before="120" w:after="120"/>
              <w:jc w:val="center"/>
              <w:rPr/>
            </w:pPr>
            <w:r>
              <w:rPr/>
              <w:t>3852</w:t>
            </w:r>
          </w:p>
        </w:tc>
        <w:tc>
          <w:tcPr>
            <w:tcW w:w="2476" w:type="dxa"/>
            <w:tcBorders/>
            <w:vAlign w:val="center"/>
          </w:tcPr>
          <w:p>
            <w:pPr>
              <w:pStyle w:val="TableContents"/>
              <w:bidi w:val="0"/>
              <w:spacing w:before="120" w:after="120"/>
              <w:jc w:val="center"/>
              <w:rPr/>
            </w:pPr>
            <w:r>
              <w:rPr/>
              <w:t>4000</w:t>
            </w:r>
          </w:p>
        </w:tc>
        <w:tc>
          <w:tcPr>
            <w:tcW w:w="2701" w:type="dxa"/>
            <w:tcBorders/>
            <w:vAlign w:val="center"/>
          </w:tcPr>
          <w:p>
            <w:pPr>
              <w:pStyle w:val="TableContents"/>
              <w:bidi w:val="0"/>
              <w:spacing w:before="120" w:after="120"/>
              <w:jc w:val="center"/>
              <w:rPr/>
            </w:pPr>
            <w:r>
              <w:rPr/>
              <w:t>34195.1</w:t>
            </w:r>
          </w:p>
        </w:tc>
        <w:tc>
          <w:tcPr>
            <w:tcW w:w="946" w:type="dxa"/>
            <w:tcBorders/>
            <w:vAlign w:val="center"/>
          </w:tcPr>
          <w:p>
            <w:pPr>
              <w:pStyle w:val="TableContents"/>
              <w:bidi w:val="0"/>
              <w:spacing w:before="120" w:after="120"/>
              <w:jc w:val="center"/>
              <w:rPr/>
            </w:pPr>
            <w:r>
              <w:rPr/>
              <w:t>增长期</w:t>
            </w:r>
          </w:p>
        </w:tc>
      </w:tr>
      <w:tr>
        <w:trPr/>
        <w:tc>
          <w:tcPr>
            <w:tcW w:w="721" w:type="dxa"/>
            <w:tcBorders/>
            <w:vAlign w:val="center"/>
          </w:tcPr>
          <w:p>
            <w:pPr>
              <w:pStyle w:val="TableContents"/>
              <w:bidi w:val="0"/>
              <w:spacing w:before="120" w:after="120"/>
              <w:jc w:val="center"/>
              <w:rPr/>
            </w:pPr>
            <w:r>
              <w:rPr/>
              <w:t>2016</w:t>
            </w:r>
          </w:p>
        </w:tc>
        <w:tc>
          <w:tcPr>
            <w:tcW w:w="2026" w:type="dxa"/>
            <w:tcBorders/>
            <w:vAlign w:val="center"/>
          </w:tcPr>
          <w:p>
            <w:pPr>
              <w:pStyle w:val="TableContents"/>
              <w:bidi w:val="0"/>
              <w:spacing w:before="120" w:after="120"/>
              <w:jc w:val="center"/>
              <w:rPr/>
            </w:pPr>
            <w:r>
              <w:rPr/>
              <w:t>4109</w:t>
            </w:r>
          </w:p>
        </w:tc>
        <w:tc>
          <w:tcPr>
            <w:tcW w:w="2476" w:type="dxa"/>
            <w:tcBorders/>
            <w:vAlign w:val="center"/>
          </w:tcPr>
          <w:p>
            <w:pPr>
              <w:pStyle w:val="TableContents"/>
              <w:bidi w:val="0"/>
              <w:spacing w:before="120" w:after="120"/>
              <w:jc w:val="center"/>
              <w:rPr/>
            </w:pPr>
            <w:r>
              <w:rPr/>
              <w:t>4440</w:t>
            </w:r>
          </w:p>
        </w:tc>
        <w:tc>
          <w:tcPr>
            <w:tcW w:w="2701" w:type="dxa"/>
            <w:tcBorders/>
            <w:vAlign w:val="center"/>
          </w:tcPr>
          <w:p>
            <w:pPr>
              <w:pStyle w:val="TableContents"/>
              <w:bidi w:val="0"/>
              <w:spacing w:before="120" w:after="120"/>
              <w:jc w:val="center"/>
              <w:rPr/>
            </w:pPr>
            <w:r>
              <w:rPr/>
              <w:t>39390.0</w:t>
            </w:r>
          </w:p>
        </w:tc>
        <w:tc>
          <w:tcPr>
            <w:tcW w:w="946" w:type="dxa"/>
            <w:tcBorders/>
            <w:vAlign w:val="center"/>
          </w:tcPr>
          <w:p>
            <w:pPr>
              <w:pStyle w:val="TableContents"/>
              <w:bidi w:val="0"/>
              <w:spacing w:before="120" w:after="120"/>
              <w:jc w:val="center"/>
              <w:rPr/>
            </w:pPr>
            <w:r>
              <w:rPr/>
              <w:t>增长期</w:t>
            </w:r>
          </w:p>
        </w:tc>
      </w:tr>
      <w:tr>
        <w:trPr/>
        <w:tc>
          <w:tcPr>
            <w:tcW w:w="721" w:type="dxa"/>
            <w:tcBorders/>
            <w:vAlign w:val="center"/>
          </w:tcPr>
          <w:p>
            <w:pPr>
              <w:pStyle w:val="TableContents"/>
              <w:bidi w:val="0"/>
              <w:spacing w:before="120" w:after="120"/>
              <w:jc w:val="center"/>
              <w:rPr/>
            </w:pPr>
            <w:r>
              <w:rPr/>
              <w:t>2017</w:t>
            </w:r>
          </w:p>
        </w:tc>
        <w:tc>
          <w:tcPr>
            <w:tcW w:w="2026" w:type="dxa"/>
            <w:tcBorders/>
            <w:vAlign w:val="center"/>
          </w:tcPr>
          <w:p>
            <w:pPr>
              <w:pStyle w:val="TableContents"/>
              <w:bidi w:val="0"/>
              <w:spacing w:before="120" w:after="120"/>
              <w:jc w:val="center"/>
              <w:rPr/>
            </w:pPr>
            <w:r>
              <w:rPr/>
              <w:t>4721</w:t>
            </w:r>
          </w:p>
        </w:tc>
        <w:tc>
          <w:tcPr>
            <w:tcW w:w="2476" w:type="dxa"/>
            <w:tcBorders/>
            <w:vAlign w:val="center"/>
          </w:tcPr>
          <w:p>
            <w:pPr>
              <w:pStyle w:val="TableContents"/>
              <w:bidi w:val="0"/>
              <w:spacing w:before="120" w:after="120"/>
              <w:jc w:val="center"/>
              <w:rPr/>
            </w:pPr>
            <w:r>
              <w:rPr/>
              <w:t>5001</w:t>
            </w:r>
          </w:p>
        </w:tc>
        <w:tc>
          <w:tcPr>
            <w:tcW w:w="2701" w:type="dxa"/>
            <w:tcBorders/>
            <w:vAlign w:val="center"/>
          </w:tcPr>
          <w:p>
            <w:pPr>
              <w:pStyle w:val="TableContents"/>
              <w:bidi w:val="0"/>
              <w:spacing w:before="120" w:after="120"/>
              <w:jc w:val="center"/>
              <w:rPr/>
            </w:pPr>
            <w:r>
              <w:rPr/>
              <w:t>45660.9</w:t>
            </w:r>
          </w:p>
        </w:tc>
        <w:tc>
          <w:tcPr>
            <w:tcW w:w="946" w:type="dxa"/>
            <w:tcBorders/>
            <w:vAlign w:val="center"/>
          </w:tcPr>
          <w:p>
            <w:pPr>
              <w:pStyle w:val="TableContents"/>
              <w:bidi w:val="0"/>
              <w:spacing w:before="120" w:after="120"/>
              <w:jc w:val="center"/>
              <w:rPr/>
            </w:pPr>
            <w:r>
              <w:rPr/>
              <w:t>增长期</w:t>
            </w:r>
          </w:p>
        </w:tc>
      </w:tr>
      <w:tr>
        <w:trPr/>
        <w:tc>
          <w:tcPr>
            <w:tcW w:w="721" w:type="dxa"/>
            <w:tcBorders/>
            <w:vAlign w:val="center"/>
          </w:tcPr>
          <w:p>
            <w:pPr>
              <w:pStyle w:val="TableContents"/>
              <w:bidi w:val="0"/>
              <w:spacing w:before="120" w:after="120"/>
              <w:jc w:val="center"/>
              <w:rPr/>
            </w:pPr>
            <w:r>
              <w:rPr/>
              <w:t>2018</w:t>
            </w:r>
          </w:p>
        </w:tc>
        <w:tc>
          <w:tcPr>
            <w:tcW w:w="2026" w:type="dxa"/>
            <w:tcBorders/>
            <w:vAlign w:val="center"/>
          </w:tcPr>
          <w:p>
            <w:pPr>
              <w:pStyle w:val="TableContents"/>
              <w:bidi w:val="0"/>
              <w:spacing w:before="120" w:after="120"/>
              <w:jc w:val="center"/>
              <w:rPr/>
            </w:pPr>
            <w:r>
              <w:rPr/>
              <w:t>4918</w:t>
            </w:r>
          </w:p>
        </w:tc>
        <w:tc>
          <w:tcPr>
            <w:tcW w:w="2476" w:type="dxa"/>
            <w:tcBorders/>
            <w:vAlign w:val="center"/>
          </w:tcPr>
          <w:p>
            <w:pPr>
              <w:pStyle w:val="TableContents"/>
              <w:bidi w:val="0"/>
              <w:spacing w:before="120" w:after="120"/>
              <w:jc w:val="center"/>
              <w:rPr/>
            </w:pPr>
            <w:r>
              <w:rPr/>
              <w:t>5539</w:t>
            </w:r>
          </w:p>
        </w:tc>
        <w:tc>
          <w:tcPr>
            <w:tcW w:w="2701" w:type="dxa"/>
            <w:tcBorders/>
            <w:vAlign w:val="center"/>
          </w:tcPr>
          <w:p>
            <w:pPr>
              <w:pStyle w:val="TableContents"/>
              <w:bidi w:val="0"/>
              <w:spacing w:before="120" w:after="120"/>
              <w:jc w:val="center"/>
              <w:rPr/>
            </w:pPr>
            <w:r>
              <w:rPr/>
              <w:t>51278.3</w:t>
            </w:r>
          </w:p>
        </w:tc>
        <w:tc>
          <w:tcPr>
            <w:tcW w:w="946" w:type="dxa"/>
            <w:tcBorders/>
            <w:vAlign w:val="center"/>
          </w:tcPr>
          <w:p>
            <w:pPr>
              <w:pStyle w:val="TableContents"/>
              <w:bidi w:val="0"/>
              <w:spacing w:before="120" w:after="120"/>
              <w:jc w:val="center"/>
              <w:rPr/>
            </w:pPr>
            <w:r>
              <w:rPr/>
              <w:t>增长期</w:t>
            </w:r>
          </w:p>
        </w:tc>
      </w:tr>
      <w:tr>
        <w:trPr/>
        <w:tc>
          <w:tcPr>
            <w:tcW w:w="721" w:type="dxa"/>
            <w:tcBorders/>
            <w:vAlign w:val="center"/>
          </w:tcPr>
          <w:p>
            <w:pPr>
              <w:pStyle w:val="TableContents"/>
              <w:bidi w:val="0"/>
              <w:spacing w:before="120" w:after="120"/>
              <w:jc w:val="center"/>
              <w:rPr/>
            </w:pPr>
            <w:r>
              <w:rPr/>
              <w:t>2019</w:t>
            </w:r>
          </w:p>
        </w:tc>
        <w:tc>
          <w:tcPr>
            <w:tcW w:w="2026" w:type="dxa"/>
            <w:tcBorders/>
            <w:vAlign w:val="center"/>
          </w:tcPr>
          <w:p>
            <w:pPr>
              <w:pStyle w:val="TableContents"/>
              <w:bidi w:val="0"/>
              <w:spacing w:before="120" w:after="120"/>
              <w:jc w:val="center"/>
              <w:rPr/>
            </w:pPr>
            <w:r>
              <w:rPr/>
              <w:t>5132</w:t>
            </w:r>
          </w:p>
        </w:tc>
        <w:tc>
          <w:tcPr>
            <w:tcW w:w="2476" w:type="dxa"/>
            <w:tcBorders/>
            <w:vAlign w:val="center"/>
          </w:tcPr>
          <w:p>
            <w:pPr>
              <w:pStyle w:val="TableContents"/>
              <w:bidi w:val="0"/>
              <w:spacing w:before="120" w:after="120"/>
              <w:jc w:val="center"/>
              <w:rPr/>
            </w:pPr>
            <w:r>
              <w:rPr/>
              <w:t>6006</w:t>
            </w:r>
          </w:p>
        </w:tc>
        <w:tc>
          <w:tcPr>
            <w:tcW w:w="2701" w:type="dxa"/>
            <w:tcBorders/>
            <w:vAlign w:val="center"/>
          </w:tcPr>
          <w:p>
            <w:pPr>
              <w:pStyle w:val="TableContents"/>
              <w:bidi w:val="0"/>
              <w:spacing w:before="120" w:after="120"/>
              <w:jc w:val="center"/>
              <w:rPr/>
            </w:pPr>
            <w:r>
              <w:rPr/>
              <w:t>57251.0</w:t>
            </w:r>
          </w:p>
        </w:tc>
        <w:tc>
          <w:tcPr>
            <w:tcW w:w="946" w:type="dxa"/>
            <w:tcBorders/>
            <w:vAlign w:val="center"/>
          </w:tcPr>
          <w:p>
            <w:pPr>
              <w:pStyle w:val="TableContents"/>
              <w:bidi w:val="0"/>
              <w:spacing w:before="120" w:after="120"/>
              <w:jc w:val="center"/>
              <w:rPr/>
            </w:pPr>
            <w:r>
              <w:rPr/>
              <w:t>高点</w:t>
            </w:r>
          </w:p>
        </w:tc>
      </w:tr>
      <w:tr>
        <w:trPr/>
        <w:tc>
          <w:tcPr>
            <w:tcW w:w="721" w:type="dxa"/>
            <w:tcBorders/>
            <w:vAlign w:val="center"/>
          </w:tcPr>
          <w:p>
            <w:pPr>
              <w:pStyle w:val="TableContents"/>
              <w:bidi w:val="0"/>
              <w:spacing w:before="120" w:after="120"/>
              <w:jc w:val="center"/>
              <w:rPr/>
            </w:pPr>
            <w:r>
              <w:rPr/>
              <w:t>2020</w:t>
            </w:r>
          </w:p>
        </w:tc>
        <w:tc>
          <w:tcPr>
            <w:tcW w:w="2026" w:type="dxa"/>
            <w:tcBorders/>
            <w:vAlign w:val="center"/>
          </w:tcPr>
          <w:p>
            <w:pPr>
              <w:pStyle w:val="TableContents"/>
              <w:bidi w:val="0"/>
              <w:spacing w:before="120" w:after="120"/>
              <w:jc w:val="center"/>
              <w:rPr/>
            </w:pPr>
            <w:r>
              <w:rPr/>
              <w:t>5446</w:t>
            </w:r>
          </w:p>
        </w:tc>
        <w:tc>
          <w:tcPr>
            <w:tcW w:w="2476" w:type="dxa"/>
            <w:tcBorders/>
            <w:vAlign w:val="center"/>
          </w:tcPr>
          <w:p>
            <w:pPr>
              <w:pStyle w:val="TableContents"/>
              <w:bidi w:val="0"/>
              <w:spacing w:before="120" w:after="120"/>
              <w:jc w:val="center"/>
              <w:rPr/>
            </w:pPr>
            <w:r>
              <w:rPr/>
              <w:t>2879</w:t>
            </w:r>
          </w:p>
        </w:tc>
        <w:tc>
          <w:tcPr>
            <w:tcW w:w="2701" w:type="dxa"/>
            <w:tcBorders/>
            <w:vAlign w:val="center"/>
          </w:tcPr>
          <w:p>
            <w:pPr>
              <w:pStyle w:val="TableContents"/>
              <w:bidi w:val="0"/>
              <w:spacing w:before="120" w:after="120"/>
              <w:jc w:val="center"/>
              <w:rPr/>
            </w:pPr>
            <w:r>
              <w:rPr/>
              <w:t>22286.3</w:t>
            </w:r>
          </w:p>
        </w:tc>
        <w:tc>
          <w:tcPr>
            <w:tcW w:w="946" w:type="dxa"/>
            <w:tcBorders/>
            <w:vAlign w:val="center"/>
          </w:tcPr>
          <w:p>
            <w:pPr>
              <w:pStyle w:val="TableContents"/>
              <w:bidi w:val="0"/>
              <w:spacing w:before="120" w:after="120"/>
              <w:jc w:val="center"/>
              <w:rPr/>
            </w:pPr>
            <w:r>
              <w:rPr/>
              <w:t>冲击</w:t>
            </w:r>
          </w:p>
        </w:tc>
      </w:tr>
      <w:tr>
        <w:trPr/>
        <w:tc>
          <w:tcPr>
            <w:tcW w:w="721" w:type="dxa"/>
            <w:tcBorders/>
            <w:vAlign w:val="center"/>
          </w:tcPr>
          <w:p>
            <w:pPr>
              <w:pStyle w:val="TableContents"/>
              <w:bidi w:val="0"/>
              <w:spacing w:before="120" w:after="120"/>
              <w:jc w:val="center"/>
              <w:rPr/>
            </w:pPr>
            <w:r>
              <w:rPr/>
              <w:t>2021</w:t>
            </w:r>
          </w:p>
        </w:tc>
        <w:tc>
          <w:tcPr>
            <w:tcW w:w="2026" w:type="dxa"/>
            <w:tcBorders/>
            <w:vAlign w:val="center"/>
          </w:tcPr>
          <w:p>
            <w:pPr>
              <w:pStyle w:val="TableContents"/>
              <w:bidi w:val="0"/>
              <w:spacing w:before="120" w:after="120"/>
              <w:jc w:val="center"/>
              <w:rPr/>
            </w:pPr>
            <w:r>
              <w:rPr/>
              <w:t>5772</w:t>
            </w:r>
          </w:p>
        </w:tc>
        <w:tc>
          <w:tcPr>
            <w:tcW w:w="2476" w:type="dxa"/>
            <w:tcBorders/>
            <w:vAlign w:val="center"/>
          </w:tcPr>
          <w:p>
            <w:pPr>
              <w:pStyle w:val="TableContents"/>
              <w:bidi w:val="0"/>
              <w:spacing w:before="120" w:after="120"/>
              <w:jc w:val="center"/>
              <w:rPr/>
            </w:pPr>
            <w:r>
              <w:rPr/>
              <w:t>3246</w:t>
            </w:r>
          </w:p>
        </w:tc>
        <w:tc>
          <w:tcPr>
            <w:tcW w:w="2701" w:type="dxa"/>
            <w:tcBorders/>
            <w:vAlign w:val="center"/>
          </w:tcPr>
          <w:p>
            <w:pPr>
              <w:pStyle w:val="TableContents"/>
              <w:bidi w:val="0"/>
              <w:spacing w:before="120" w:after="120"/>
              <w:jc w:val="center"/>
              <w:rPr/>
            </w:pPr>
            <w:r>
              <w:rPr/>
              <w:t>29191.0</w:t>
            </w:r>
          </w:p>
        </w:tc>
        <w:tc>
          <w:tcPr>
            <w:tcW w:w="946" w:type="dxa"/>
            <w:tcBorders/>
            <w:vAlign w:val="center"/>
          </w:tcPr>
          <w:p>
            <w:pPr>
              <w:pStyle w:val="TableContents"/>
              <w:bidi w:val="0"/>
              <w:spacing w:before="120" w:after="120"/>
              <w:jc w:val="center"/>
              <w:rPr/>
            </w:pPr>
            <w:r>
              <w:rPr/>
              <w:t>修复</w:t>
            </w:r>
          </w:p>
        </w:tc>
      </w:tr>
      <w:tr>
        <w:trPr/>
        <w:tc>
          <w:tcPr>
            <w:tcW w:w="721" w:type="dxa"/>
            <w:tcBorders/>
            <w:vAlign w:val="center"/>
          </w:tcPr>
          <w:p>
            <w:pPr>
              <w:pStyle w:val="TableContents"/>
              <w:bidi w:val="0"/>
              <w:spacing w:before="120" w:after="120"/>
              <w:jc w:val="center"/>
              <w:rPr/>
            </w:pPr>
            <w:r>
              <w:rPr/>
              <w:t>2022</w:t>
            </w:r>
          </w:p>
        </w:tc>
        <w:tc>
          <w:tcPr>
            <w:tcW w:w="2026" w:type="dxa"/>
            <w:tcBorders/>
            <w:vAlign w:val="center"/>
          </w:tcPr>
          <w:p>
            <w:pPr>
              <w:pStyle w:val="TableContents"/>
              <w:bidi w:val="0"/>
              <w:spacing w:before="120" w:after="120"/>
              <w:jc w:val="center"/>
              <w:rPr/>
            </w:pPr>
            <w:r>
              <w:rPr/>
              <w:t>6565</w:t>
            </w:r>
          </w:p>
        </w:tc>
        <w:tc>
          <w:tcPr>
            <w:tcW w:w="2476" w:type="dxa"/>
            <w:tcBorders/>
            <w:vAlign w:val="center"/>
          </w:tcPr>
          <w:p>
            <w:pPr>
              <w:pStyle w:val="TableContents"/>
              <w:bidi w:val="0"/>
              <w:spacing w:before="120" w:after="120"/>
              <w:jc w:val="center"/>
              <w:rPr/>
            </w:pPr>
            <w:r>
              <w:rPr/>
              <w:t>2530</w:t>
            </w:r>
          </w:p>
        </w:tc>
        <w:tc>
          <w:tcPr>
            <w:tcW w:w="2701" w:type="dxa"/>
            <w:tcBorders/>
            <w:vAlign w:val="center"/>
          </w:tcPr>
          <w:p>
            <w:pPr>
              <w:pStyle w:val="TableContents"/>
              <w:bidi w:val="0"/>
              <w:spacing w:before="120" w:after="120"/>
              <w:jc w:val="center"/>
              <w:rPr/>
            </w:pPr>
            <w:r>
              <w:rPr/>
              <w:t>20444.0</w:t>
            </w:r>
          </w:p>
        </w:tc>
        <w:tc>
          <w:tcPr>
            <w:tcW w:w="946" w:type="dxa"/>
            <w:tcBorders/>
            <w:vAlign w:val="center"/>
          </w:tcPr>
          <w:p>
            <w:pPr>
              <w:pStyle w:val="TableContents"/>
              <w:bidi w:val="0"/>
              <w:spacing w:before="120" w:after="120"/>
              <w:jc w:val="center"/>
              <w:rPr/>
            </w:pPr>
            <w:r>
              <w:rPr/>
              <w:t>波动</w:t>
            </w:r>
          </w:p>
        </w:tc>
      </w:tr>
      <w:tr>
        <w:trPr/>
        <w:tc>
          <w:tcPr>
            <w:tcW w:w="721" w:type="dxa"/>
            <w:tcBorders/>
            <w:vAlign w:val="center"/>
          </w:tcPr>
          <w:p>
            <w:pPr>
              <w:pStyle w:val="TableContents"/>
              <w:bidi w:val="0"/>
              <w:spacing w:before="120" w:after="120"/>
              <w:jc w:val="center"/>
              <w:rPr/>
            </w:pPr>
            <w:r>
              <w:rPr/>
              <w:t>2023</w:t>
            </w:r>
          </w:p>
        </w:tc>
        <w:tc>
          <w:tcPr>
            <w:tcW w:w="2026" w:type="dxa"/>
            <w:tcBorders/>
            <w:vAlign w:val="center"/>
          </w:tcPr>
          <w:p>
            <w:pPr>
              <w:pStyle w:val="TableContents"/>
              <w:bidi w:val="0"/>
              <w:spacing w:before="120" w:after="120"/>
              <w:jc w:val="center"/>
              <w:rPr/>
            </w:pPr>
            <w:r>
              <w:rPr/>
              <w:t>6833</w:t>
            </w:r>
          </w:p>
        </w:tc>
        <w:tc>
          <w:tcPr>
            <w:tcW w:w="2476" w:type="dxa"/>
            <w:tcBorders/>
            <w:vAlign w:val="center"/>
          </w:tcPr>
          <w:p>
            <w:pPr>
              <w:pStyle w:val="TableContents"/>
              <w:bidi w:val="0"/>
              <w:spacing w:before="120" w:after="120"/>
              <w:jc w:val="center"/>
              <w:rPr/>
            </w:pPr>
            <w:r>
              <w:rPr/>
              <w:t>4891</w:t>
            </w:r>
          </w:p>
        </w:tc>
        <w:tc>
          <w:tcPr>
            <w:tcW w:w="2701" w:type="dxa"/>
            <w:tcBorders/>
            <w:vAlign w:val="center"/>
          </w:tcPr>
          <w:p>
            <w:pPr>
              <w:pStyle w:val="TableContents"/>
              <w:bidi w:val="0"/>
              <w:spacing w:before="120" w:after="120"/>
              <w:jc w:val="center"/>
              <w:rPr/>
            </w:pPr>
            <w:r>
              <w:rPr/>
              <w:t>49133.1</w:t>
            </w:r>
          </w:p>
        </w:tc>
        <w:tc>
          <w:tcPr>
            <w:tcW w:w="946" w:type="dxa"/>
            <w:tcBorders/>
            <w:vAlign w:val="center"/>
          </w:tcPr>
          <w:p>
            <w:pPr>
              <w:pStyle w:val="TableContents"/>
              <w:bidi w:val="0"/>
              <w:spacing w:before="120" w:after="120"/>
              <w:jc w:val="center"/>
              <w:rPr/>
            </w:pPr>
            <w:r>
              <w:rPr/>
              <w:t>修复</w:t>
            </w:r>
          </w:p>
        </w:tc>
      </w:tr>
    </w:tbl>
    <w:p>
      <w:pPr>
        <w:pStyle w:val="TextBody"/>
        <w:bidi w:val="0"/>
        <w:spacing w:before="120" w:after="120"/>
        <w:ind w:start="120" w:end="120" w:hanging="0"/>
        <w:jc w:val="start"/>
        <w:rPr/>
      </w:pPr>
      <w:r>
        <w:rPr/>
        <w:t>数据预处理包括四个步骤。</w:t>
      </w:r>
    </w:p>
    <w:p>
      <w:pPr>
        <w:pStyle w:val="TextBody"/>
        <w:bidi w:val="0"/>
        <w:spacing w:before="120" w:after="120"/>
        <w:ind w:start="120" w:end="120" w:hanging="0"/>
        <w:jc w:val="start"/>
        <w:rPr/>
      </w:pPr>
      <w:r>
        <w:rPr/>
        <w:t xml:space="preserve">第一，统一口径。将三个指标对齐到 </w:t>
      </w:r>
      <w:r>
        <w:rPr/>
        <w:t xml:space="preserve">2014-2023 </w:t>
      </w:r>
      <w:r>
        <w:rPr/>
        <w:t xml:space="preserve">年共同年度区间，形成等距时间序列。由于数据为年度数据，后续数值微分中的步长取 </w:t>
      </w:r>
      <w:r>
        <w:rPr/>
        <w:t>`h = 1`</w:t>
      </w:r>
      <w:r>
        <w:rPr/>
        <w:t>。</w:t>
      </w:r>
    </w:p>
    <w:p>
      <w:pPr>
        <w:pStyle w:val="TextBody"/>
        <w:bidi w:val="0"/>
        <w:spacing w:before="120" w:after="120"/>
        <w:ind w:start="120" w:end="120" w:hanging="0"/>
        <w:jc w:val="start"/>
        <w:rPr/>
      </w:pPr>
      <w:r>
        <w:rPr/>
        <w:t xml:space="preserve">第二，保留并标注 </w:t>
      </w:r>
      <w:r>
        <w:rPr/>
        <w:t xml:space="preserve">2020 </w:t>
      </w:r>
      <w:r>
        <w:rPr/>
        <w:t>年冲击。</w:t>
      </w:r>
      <w:r>
        <w:rPr/>
        <w:t xml:space="preserve">2020 </w:t>
      </w:r>
      <w:r>
        <w:rPr/>
        <w:t xml:space="preserve">年游客和旅游消费的下降不是普通噪声，而是公共卫生事件导致的真实社会冲击。如果简单删除该点，会弱化文旅复苏这一研究主题。因此本文保留 </w:t>
      </w:r>
      <w:r>
        <w:rPr/>
        <w:t xml:space="preserve">2020 </w:t>
      </w:r>
      <w:r>
        <w:rPr/>
        <w:t>年数据，并将其作为结构性冲击点进行解释。</w:t>
      </w:r>
    </w:p>
    <w:p>
      <w:pPr>
        <w:pStyle w:val="TextBody"/>
        <w:bidi w:val="0"/>
        <w:spacing w:before="120" w:after="120"/>
        <w:ind w:start="120" w:end="120" w:hanging="0"/>
        <w:jc w:val="start"/>
        <w:rPr/>
      </w:pPr>
      <w:r>
        <w:rPr/>
        <w:t xml:space="preserve">第三，构造指数化指标。以 </w:t>
      </w:r>
      <w:r>
        <w:rPr/>
        <w:t xml:space="preserve">2014 </w:t>
      </w:r>
      <w:r>
        <w:rPr/>
        <w:t>年为基期，构造博物馆指数、游客指数和旅游消费指数：</w:t>
      </w:r>
    </w:p>
    <w:p>
      <w:pPr>
        <w:pStyle w:val="PreformattedText"/>
        <w:bidi w:val="0"/>
        <w:spacing w:before="0" w:after="283"/>
        <w:jc w:val="start"/>
        <w:rPr/>
      </w:pPr>
      <w:r>
        <w:rPr>
          <w:rStyle w:val="SourceText"/>
        </w:rPr>
        <w:t xml:space="preserve">指数 </w:t>
      </w:r>
      <w:r>
        <w:rPr>
          <w:rStyle w:val="SourceText"/>
        </w:rPr>
        <w:t xml:space="preserve">= </w:t>
      </w:r>
      <w:r>
        <w:rPr>
          <w:rStyle w:val="SourceText"/>
        </w:rPr>
        <w:t xml:space="preserve">当年指标值 </w:t>
      </w:r>
      <w:r>
        <w:rPr>
          <w:rStyle w:val="SourceText"/>
        </w:rPr>
        <w:t xml:space="preserve">/ 2014 </w:t>
      </w:r>
      <w:r>
        <w:rPr>
          <w:rStyle w:val="SourceText"/>
        </w:rPr>
        <w:t xml:space="preserve">年指标值 </w:t>
      </w:r>
      <w:r>
        <w:rPr>
          <w:rStyle w:val="SourceText"/>
        </w:rPr>
        <w:t>× 100</w:t>
      </w:r>
    </w:p>
    <w:p>
      <w:pPr>
        <w:pStyle w:val="TextBody"/>
        <w:bidi w:val="0"/>
        <w:spacing w:before="120" w:after="120"/>
        <w:ind w:start="120" w:end="120" w:hanging="0"/>
        <w:jc w:val="start"/>
        <w:rPr/>
      </w:pPr>
      <w:r>
        <w:rPr/>
        <w:t>指数化处理可以消除不同单位和数量级的影响，使不同指标能够在同一尺度下比较。</w:t>
      </w:r>
    </w:p>
    <w:p>
      <w:pPr>
        <w:pStyle w:val="TextBody"/>
        <w:bidi w:val="0"/>
        <w:spacing w:before="120" w:after="120"/>
        <w:ind w:start="120" w:end="120" w:hanging="0"/>
        <w:jc w:val="start"/>
        <w:rPr/>
      </w:pPr>
      <w:r>
        <w:rPr/>
        <w:t>第四，构造转化效率指标。为了体现数字经济背景下“文化供给向游客和消费转化”的过程，本文构造以下派生指标：</w:t>
      </w:r>
    </w:p>
    <w:p>
      <w:pPr>
        <w:pStyle w:val="PreformattedText"/>
        <w:pBdr/>
        <w:shd w:fill="F3F4F6" w:val="clear"/>
        <w:bidi w:val="0"/>
        <w:spacing w:before="0" w:after="0"/>
        <w:jc w:val="start"/>
        <w:rPr/>
      </w:pPr>
      <w:r>
        <w:rPr>
          <w:rStyle w:val="SourceText"/>
        </w:rPr>
        <w:t xml:space="preserve">单馆游客量 </w:t>
      </w:r>
      <w:r>
        <w:rPr>
          <w:rStyle w:val="SourceText"/>
        </w:rPr>
        <w:t xml:space="preserve">= </w:t>
      </w:r>
      <w:r>
        <w:rPr>
          <w:rStyle w:val="SourceText"/>
        </w:rPr>
        <w:t xml:space="preserve">国内游客 </w:t>
      </w:r>
      <w:r>
        <w:rPr>
          <w:rStyle w:val="SourceText"/>
        </w:rPr>
        <w:t xml:space="preserve">/ </w:t>
      </w:r>
      <w:r>
        <w:rPr>
          <w:rStyle w:val="SourceText"/>
        </w:rPr>
        <w:t>博物馆数量</w:t>
      </w:r>
    </w:p>
    <w:p>
      <w:pPr>
        <w:pStyle w:val="PreformattedText"/>
        <w:pBdr/>
        <w:shd w:fill="F3F4F6" w:val="clear"/>
        <w:bidi w:val="0"/>
        <w:spacing w:before="0" w:after="0"/>
        <w:jc w:val="start"/>
        <w:rPr/>
      </w:pPr>
      <w:r>
        <w:rPr>
          <w:rStyle w:val="SourceText"/>
        </w:rPr>
        <w:t xml:space="preserve">人均旅游消费 </w:t>
      </w:r>
      <w:r>
        <w:rPr>
          <w:rStyle w:val="SourceText"/>
        </w:rPr>
        <w:t xml:space="preserve">= </w:t>
      </w:r>
      <w:r>
        <w:rPr>
          <w:rStyle w:val="SourceText"/>
        </w:rPr>
        <w:t xml:space="preserve">国内旅游总花费 </w:t>
      </w:r>
      <w:r>
        <w:rPr>
          <w:rStyle w:val="SourceText"/>
        </w:rPr>
        <w:t xml:space="preserve">× 100 / </w:t>
      </w:r>
      <w:r>
        <w:rPr>
          <w:rStyle w:val="SourceText"/>
        </w:rPr>
        <w:t>国内游客</w:t>
      </w:r>
    </w:p>
    <w:p>
      <w:pPr>
        <w:pStyle w:val="PreformattedText"/>
        <w:bidi w:val="0"/>
        <w:spacing w:before="0" w:after="283"/>
        <w:jc w:val="start"/>
        <w:rPr/>
      </w:pPr>
      <w:r>
        <w:rPr>
          <w:rStyle w:val="SourceText"/>
        </w:rPr>
        <w:t xml:space="preserve">单馆旅游消费 </w:t>
      </w:r>
      <w:r>
        <w:rPr>
          <w:rStyle w:val="SourceText"/>
        </w:rPr>
        <w:t xml:space="preserve">= </w:t>
      </w:r>
      <w:r>
        <w:rPr>
          <w:rStyle w:val="SourceText"/>
        </w:rPr>
        <w:t xml:space="preserve">国内旅游总花费 </w:t>
      </w:r>
      <w:r>
        <w:rPr>
          <w:rStyle w:val="SourceText"/>
        </w:rPr>
        <w:t xml:space="preserve">/ </w:t>
      </w:r>
      <w:r>
        <w:rPr>
          <w:rStyle w:val="SourceText"/>
        </w:rPr>
        <w:t>博物馆数量</w:t>
      </w:r>
    </w:p>
    <w:p>
      <w:pPr>
        <w:pStyle w:val="TextBody"/>
        <w:bidi w:val="0"/>
        <w:spacing w:before="120" w:after="120"/>
        <w:ind w:start="120" w:end="120" w:hanging="0"/>
        <w:jc w:val="start"/>
        <w:rPr/>
      </w:pPr>
      <w:r>
        <w:rPr/>
        <w:t>处理后发现，</w:t>
      </w:r>
      <w:r>
        <w:rPr/>
        <w:t xml:space="preserve">2019 </w:t>
      </w:r>
      <w:r>
        <w:rPr/>
        <w:t xml:space="preserve">年单馆游客量约为 </w:t>
      </w:r>
      <w:r>
        <w:rPr/>
        <w:t xml:space="preserve">1.170 </w:t>
      </w:r>
      <w:r>
        <w:rPr/>
        <w:t>百万人次</w:t>
      </w:r>
      <w:r>
        <w:rPr/>
        <w:t>/</w:t>
      </w:r>
      <w:r>
        <w:rPr/>
        <w:t>馆，</w:t>
      </w:r>
      <w:r>
        <w:rPr/>
        <w:t xml:space="preserve">2023 </w:t>
      </w:r>
      <w:r>
        <w:rPr/>
        <w:t xml:space="preserve">年下降为 </w:t>
      </w:r>
      <w:r>
        <w:rPr/>
        <w:t xml:space="preserve">0.716 </w:t>
      </w:r>
      <w:r>
        <w:rPr/>
        <w:t>百万人次</w:t>
      </w:r>
      <w:r>
        <w:rPr/>
        <w:t>/</w:t>
      </w:r>
      <w:r>
        <w:rPr/>
        <w:t xml:space="preserve">馆，说明博物馆数量持续扩张，但单馆承接游客量尚未恢复到 </w:t>
      </w:r>
      <w:r>
        <w:rPr/>
        <w:t xml:space="preserve">2019 </w:t>
      </w:r>
      <w:r>
        <w:rPr/>
        <w:t xml:space="preserve">年水平。与此同时，人均旅游消费从 </w:t>
      </w:r>
      <w:r>
        <w:rPr/>
        <w:t xml:space="preserve">2019 </w:t>
      </w:r>
      <w:r>
        <w:rPr/>
        <w:t xml:space="preserve">年的约 </w:t>
      </w:r>
      <w:r>
        <w:rPr/>
        <w:t xml:space="preserve">953.2 </w:t>
      </w:r>
      <w:r>
        <w:rPr/>
        <w:t>元</w:t>
      </w:r>
      <w:r>
        <w:rPr/>
        <w:t>/</w:t>
      </w:r>
      <w:r>
        <w:rPr/>
        <w:t xml:space="preserve">人提高到 </w:t>
      </w:r>
      <w:r>
        <w:rPr/>
        <w:t xml:space="preserve">2023 </w:t>
      </w:r>
      <w:r>
        <w:rPr/>
        <w:t xml:space="preserve">年的约 </w:t>
      </w:r>
      <w:r>
        <w:rPr/>
        <w:t xml:space="preserve">1004.6 </w:t>
      </w:r>
      <w:r>
        <w:rPr/>
        <w:t>元</w:t>
      </w:r>
      <w:r>
        <w:rPr/>
        <w:t>/</w:t>
      </w:r>
      <w:r>
        <w:rPr/>
        <w:t>人，说明游客数量恢复不足的同时，消费强度恢复较快。这为后文解释数字经济提升消费转化效率提供了数据基础。</w:t>
      </w:r>
    </w:p>
    <w:p>
      <w:pPr>
        <w:pStyle w:val="Heading2"/>
        <w:bidi w:val="0"/>
        <w:jc w:val="start"/>
        <w:rPr/>
      </w:pPr>
      <w:r>
        <w:rPr/>
        <w:t>三、数值建模与算法实现</w:t>
      </w:r>
    </w:p>
    <w:p>
      <w:pPr>
        <w:pStyle w:val="Heading3"/>
        <w:bidi w:val="0"/>
        <w:jc w:val="start"/>
        <w:rPr/>
      </w:pPr>
      <w:r>
        <w:rPr/>
        <w:t xml:space="preserve">1. </w:t>
      </w:r>
      <w:r>
        <w:rPr/>
        <w:t>三点差分计算年度变化率</w:t>
      </w:r>
    </w:p>
    <w:p>
      <w:pPr>
        <w:pStyle w:val="TextBody"/>
        <w:bidi w:val="0"/>
        <w:spacing w:before="120" w:after="120"/>
        <w:ind w:start="120" w:end="120" w:hanging="0"/>
        <w:jc w:val="start"/>
        <w:rPr/>
      </w:pPr>
      <w:r>
        <w:rPr/>
        <w:t>本文首先使用三点差分公式计算指标的年度边际变化。对于内部年份，采用中心差分：</w:t>
      </w:r>
    </w:p>
    <w:p>
      <w:pPr>
        <w:pStyle w:val="PreformattedText"/>
        <w:bidi w:val="0"/>
        <w:spacing w:before="0" w:after="283"/>
        <w:jc w:val="start"/>
        <w:rPr/>
      </w:pPr>
      <w:r>
        <w:rPr>
          <w:rStyle w:val="SourceText"/>
        </w:rPr>
        <w:t>f'(x_i) ≈ [f(x_{i+1}) - f(x_{i-1})] / 2h</w:t>
      </w:r>
    </w:p>
    <w:p>
      <w:pPr>
        <w:pStyle w:val="TextBody"/>
        <w:bidi w:val="0"/>
        <w:spacing w:before="120" w:after="120"/>
        <w:ind w:start="120" w:end="120" w:hanging="0"/>
        <w:jc w:val="start"/>
        <w:rPr/>
      </w:pPr>
      <w:r>
        <w:rPr/>
        <w:t>由于年度数据等距采样，</w:t>
      </w:r>
      <w:r>
        <w:rPr/>
        <w:t>`h = 1`</w:t>
      </w:r>
      <w:r>
        <w:rPr/>
        <w:t>。首尾年份没有两侧数据，因此分别采用前向差分和后向差分。三点差分的社会意义是把“规模变化”转化为“年度变化率”，用于判断某一指标在某一年附近是加速、减速还是受到冲击。</w:t>
      </w:r>
    </w:p>
    <w:p>
      <w:pPr>
        <w:pStyle w:val="TextBody"/>
        <w:bidi w:val="0"/>
        <w:spacing w:before="120" w:after="120"/>
        <w:ind w:start="120" w:end="120" w:hanging="0"/>
        <w:jc w:val="start"/>
        <w:rPr/>
      </w:pPr>
      <w:r>
        <w:rPr/>
        <w:t>核心代码如下：</w:t>
      </w:r>
    </w:p>
    <w:p>
      <w:pPr>
        <w:pStyle w:val="PreformattedText"/>
        <w:pBdr/>
        <w:shd w:fill="F3F4F6" w:val="clear"/>
        <w:bidi w:val="0"/>
        <w:spacing w:before="0" w:after="0"/>
        <w:jc w:val="start"/>
        <w:rPr/>
      </w:pPr>
      <w:r>
        <w:rPr>
          <w:rStyle w:val="SourceText"/>
        </w:rPr>
        <w:t>def three_point_diff(values, h=1.0):</w:t>
      </w:r>
    </w:p>
    <w:p>
      <w:pPr>
        <w:pStyle w:val="PreformattedText"/>
        <w:pBdr/>
        <w:shd w:fill="F3F4F6" w:val="clear"/>
        <w:bidi w:val="0"/>
        <w:spacing w:before="0" w:after="0"/>
        <w:jc w:val="start"/>
        <w:rPr/>
      </w:pPr>
      <w:r>
        <w:rPr>
          <w:rStyle w:val="SourceText"/>
        </w:rPr>
        <w:t xml:space="preserve">    </w:t>
      </w:r>
      <w:r>
        <w:rPr>
          <w:rStyle w:val="SourceText"/>
        </w:rPr>
        <w:t>diff = []</w:t>
      </w:r>
    </w:p>
    <w:p>
      <w:pPr>
        <w:pStyle w:val="PreformattedText"/>
        <w:pBdr/>
        <w:shd w:fill="F3F4F6" w:val="clear"/>
        <w:bidi w:val="0"/>
        <w:spacing w:before="0" w:after="0"/>
        <w:jc w:val="start"/>
        <w:rPr/>
      </w:pPr>
      <w:r>
        <w:rPr>
          <w:rStyle w:val="SourceText"/>
        </w:rPr>
        <w:t xml:space="preserve">    </w:t>
      </w:r>
      <w:r>
        <w:rPr>
          <w:rStyle w:val="SourceText"/>
        </w:rPr>
        <w:t>for i, value in enumerate(values):</w:t>
      </w:r>
    </w:p>
    <w:p>
      <w:pPr>
        <w:pStyle w:val="PreformattedText"/>
        <w:pBdr/>
        <w:shd w:fill="F3F4F6" w:val="clear"/>
        <w:bidi w:val="0"/>
        <w:spacing w:before="0" w:after="0"/>
        <w:jc w:val="start"/>
        <w:rPr/>
      </w:pPr>
      <w:r>
        <w:rPr>
          <w:rStyle w:val="SourceText"/>
        </w:rPr>
        <w:t xml:space="preserve">        </w:t>
      </w:r>
      <w:r>
        <w:rPr>
          <w:rStyle w:val="SourceText"/>
        </w:rPr>
        <w:t>if i == 0:</w:t>
      </w:r>
    </w:p>
    <w:p>
      <w:pPr>
        <w:pStyle w:val="PreformattedText"/>
        <w:pBdr/>
        <w:shd w:fill="F3F4F6" w:val="clear"/>
        <w:bidi w:val="0"/>
        <w:spacing w:before="0" w:after="0"/>
        <w:jc w:val="start"/>
        <w:rPr/>
      </w:pPr>
      <w:r>
        <w:rPr>
          <w:rStyle w:val="SourceText"/>
        </w:rPr>
        <w:t xml:space="preserve">            </w:t>
      </w:r>
      <w:r>
        <w:rPr>
          <w:rStyle w:val="SourceText"/>
        </w:rPr>
        <w:t>diff.append((values[1] - value) / h)</w:t>
      </w:r>
    </w:p>
    <w:p>
      <w:pPr>
        <w:pStyle w:val="PreformattedText"/>
        <w:pBdr/>
        <w:shd w:fill="F3F4F6" w:val="clear"/>
        <w:bidi w:val="0"/>
        <w:spacing w:before="0" w:after="0"/>
        <w:jc w:val="start"/>
        <w:rPr/>
      </w:pPr>
      <w:r>
        <w:rPr>
          <w:rStyle w:val="SourceText"/>
        </w:rPr>
        <w:t xml:space="preserve">        </w:t>
      </w:r>
      <w:r>
        <w:rPr>
          <w:rStyle w:val="SourceText"/>
        </w:rPr>
        <w:t>elif i == len(values) - 1:</w:t>
      </w:r>
    </w:p>
    <w:p>
      <w:pPr>
        <w:pStyle w:val="PreformattedText"/>
        <w:pBdr/>
        <w:shd w:fill="F3F4F6" w:val="clear"/>
        <w:bidi w:val="0"/>
        <w:spacing w:before="0" w:after="0"/>
        <w:jc w:val="start"/>
        <w:rPr/>
      </w:pPr>
      <w:r>
        <w:rPr>
          <w:rStyle w:val="SourceText"/>
        </w:rPr>
        <w:t xml:space="preserve">            </w:t>
      </w:r>
      <w:r>
        <w:rPr>
          <w:rStyle w:val="SourceText"/>
        </w:rPr>
        <w:t>diff.append((value - values[-2]) / h)</w:t>
      </w:r>
    </w:p>
    <w:p>
      <w:pPr>
        <w:pStyle w:val="PreformattedText"/>
        <w:pBdr/>
        <w:shd w:fill="F3F4F6" w:val="clear"/>
        <w:bidi w:val="0"/>
        <w:spacing w:before="0" w:after="0"/>
        <w:jc w:val="start"/>
        <w:rPr/>
      </w:pPr>
      <w:r>
        <w:rPr>
          <w:rStyle w:val="SourceText"/>
        </w:rPr>
        <w:t xml:space="preserve">        </w:t>
      </w:r>
      <w:r>
        <w:rPr>
          <w:rStyle w:val="SourceText"/>
        </w:rPr>
        <w:t>else:</w:t>
      </w:r>
    </w:p>
    <w:p>
      <w:pPr>
        <w:pStyle w:val="PreformattedText"/>
        <w:pBdr/>
        <w:shd w:fill="F3F4F6" w:val="clear"/>
        <w:bidi w:val="0"/>
        <w:spacing w:before="0" w:after="0"/>
        <w:jc w:val="start"/>
        <w:rPr/>
      </w:pPr>
      <w:r>
        <w:rPr>
          <w:rStyle w:val="SourceText"/>
        </w:rPr>
        <w:t xml:space="preserve">            </w:t>
      </w:r>
      <w:r>
        <w:rPr>
          <w:rStyle w:val="SourceText"/>
        </w:rPr>
        <w:t>diff.append((values[i + 1] - values[i - 1]) / (2 * h))</w:t>
      </w:r>
    </w:p>
    <w:p>
      <w:pPr>
        <w:pStyle w:val="PreformattedText"/>
        <w:bidi w:val="0"/>
        <w:spacing w:before="0" w:after="283"/>
        <w:jc w:val="start"/>
        <w:rPr/>
      </w:pPr>
      <w:r>
        <w:rPr>
          <w:rStyle w:val="SourceText"/>
        </w:rPr>
        <w:t xml:space="preserve">    </w:t>
      </w:r>
      <w:r>
        <w:rPr>
          <w:rStyle w:val="SourceText"/>
        </w:rPr>
        <w:t>return diff</w:t>
      </w:r>
    </w:p>
    <w:p>
      <w:pPr>
        <w:pStyle w:val="TextBody"/>
        <w:bidi w:val="0"/>
        <w:spacing w:before="120" w:after="120"/>
        <w:ind w:start="120" w:end="120" w:hanging="0"/>
        <w:jc w:val="start"/>
        <w:rPr/>
      </w:pPr>
      <w:r>
        <w:rPr/>
        <w:t>计算结果显示，</w:t>
      </w:r>
      <w:r>
        <w:rPr/>
        <w:t xml:space="preserve">2020 </w:t>
      </w:r>
      <w:r>
        <w:rPr/>
        <w:t xml:space="preserve">年附近国内游客变化率约为 </w:t>
      </w:r>
      <w:r>
        <w:rPr/>
        <w:t xml:space="preserve">`-1380.0` </w:t>
      </w:r>
      <w:r>
        <w:rPr/>
        <w:t>百万人次</w:t>
      </w:r>
      <w:r>
        <w:rPr/>
        <w:t>/</w:t>
      </w:r>
      <w:r>
        <w:rPr/>
        <w:t>年，</w:t>
      </w:r>
      <w:r>
        <w:rPr/>
        <w:t xml:space="preserve">2023 </w:t>
      </w:r>
      <w:r>
        <w:rPr/>
        <w:t xml:space="preserve">年游客变化率约为 </w:t>
      </w:r>
      <w:r>
        <w:rPr/>
        <w:t xml:space="preserve">`+2361.0` </w:t>
      </w:r>
      <w:r>
        <w:rPr/>
        <w:t>百万人次</w:t>
      </w:r>
      <w:r>
        <w:rPr/>
        <w:t>/</w:t>
      </w:r>
      <w:r>
        <w:rPr/>
        <w:t xml:space="preserve">年。这说明文旅需求在 </w:t>
      </w:r>
      <w:r>
        <w:rPr/>
        <w:t xml:space="preserve">2020 </w:t>
      </w:r>
      <w:r>
        <w:rPr/>
        <w:t xml:space="preserve">年受到明显冲击，而 </w:t>
      </w:r>
      <w:r>
        <w:rPr/>
        <w:t xml:space="preserve">2023 </w:t>
      </w:r>
      <w:r>
        <w:rPr/>
        <w:t>年恢复速度显著提高。</w:t>
      </w:r>
    </w:p>
    <w:p>
      <w:pPr>
        <w:pStyle w:val="Heading3"/>
        <w:bidi w:val="0"/>
        <w:jc w:val="start"/>
        <w:rPr/>
      </w:pPr>
      <w:r>
        <w:rPr/>
        <w:t xml:space="preserve">2. </w:t>
      </w:r>
      <w:r>
        <w:rPr/>
        <w:t>分段最小二乘拟合</w:t>
      </w:r>
    </w:p>
    <w:p>
      <w:pPr>
        <w:pStyle w:val="TextBody"/>
        <w:bidi w:val="0"/>
        <w:spacing w:before="120" w:after="120"/>
        <w:ind w:start="120" w:end="120" w:hanging="0"/>
        <w:jc w:val="start"/>
        <w:rPr/>
      </w:pPr>
      <w:r>
        <w:rPr/>
        <w:t xml:space="preserve">对于拟合部分，本文没有直接使用 </w:t>
      </w:r>
      <w:r>
        <w:rPr/>
        <w:t xml:space="preserve">2014-2023 </w:t>
      </w:r>
      <w:r>
        <w:rPr/>
        <w:t xml:space="preserve">年全周期线性模型，而是采用分段最小二乘。原因是 </w:t>
      </w:r>
      <w:r>
        <w:rPr/>
        <w:t xml:space="preserve">2020 </w:t>
      </w:r>
      <w:r>
        <w:rPr/>
        <w:t>年存在明显外生冲击，如果使用一条直线拟合全部年份，会把长期增长和短期冲击混在同一个斜率中，导致解释失真。</w:t>
      </w:r>
    </w:p>
    <w:p>
      <w:pPr>
        <w:pStyle w:val="TextBody"/>
        <w:bidi w:val="0"/>
        <w:spacing w:before="120" w:after="120"/>
        <w:ind w:start="120" w:end="120" w:hanging="0"/>
        <w:jc w:val="start"/>
        <w:rPr/>
      </w:pPr>
      <w:r>
        <w:rPr/>
        <w:t>设线性拟合模型为：</w:t>
      </w:r>
    </w:p>
    <w:p>
      <w:pPr>
        <w:pStyle w:val="PreformattedText"/>
        <w:bidi w:val="0"/>
        <w:spacing w:before="0" w:after="283"/>
        <w:jc w:val="start"/>
        <w:rPr/>
      </w:pPr>
      <w:r>
        <w:rPr>
          <w:rStyle w:val="SourceText"/>
        </w:rPr>
        <w:t>y = ax + b</w:t>
      </w:r>
    </w:p>
    <w:p>
      <w:pPr>
        <w:pStyle w:val="TextBody"/>
        <w:bidi w:val="0"/>
        <w:spacing w:before="120" w:after="120"/>
        <w:ind w:start="120" w:end="120" w:hanging="0"/>
        <w:jc w:val="start"/>
        <w:rPr/>
      </w:pPr>
      <w:r>
        <w:rPr/>
        <w:t>最小二乘法通过最小化残差平方和确定参数：</w:t>
      </w:r>
    </w:p>
    <w:p>
      <w:pPr>
        <w:pStyle w:val="PreformattedText"/>
        <w:bidi w:val="0"/>
        <w:spacing w:before="0" w:after="283"/>
        <w:jc w:val="start"/>
        <w:rPr/>
      </w:pPr>
      <w:r>
        <w:rPr>
          <w:rStyle w:val="SourceText"/>
        </w:rPr>
        <w:t>S = Σ[y_i - (a x_i + b)]²</w:t>
      </w:r>
    </w:p>
    <w:p>
      <w:pPr>
        <w:pStyle w:val="TextBody"/>
        <w:bidi w:val="0"/>
        <w:spacing w:before="120" w:after="120"/>
        <w:ind w:start="120" w:end="120" w:hanging="0"/>
        <w:jc w:val="start"/>
        <w:rPr/>
      </w:pPr>
      <w:r>
        <w:rPr/>
        <w:t>本文将数据分为两个阶段：</w:t>
      </w:r>
    </w:p>
    <w:p>
      <w:pPr>
        <w:pStyle w:val="PreformattedText"/>
        <w:pBdr/>
        <w:shd w:fill="F3F4F6" w:val="clear"/>
        <w:bidi w:val="0"/>
        <w:spacing w:before="0" w:after="0"/>
        <w:jc w:val="start"/>
        <w:rPr/>
      </w:pPr>
      <w:r>
        <w:rPr>
          <w:rStyle w:val="SourceText"/>
        </w:rPr>
        <w:t xml:space="preserve">2014-2019 </w:t>
      </w:r>
      <w:r>
        <w:rPr>
          <w:rStyle w:val="SourceText"/>
        </w:rPr>
        <w:t>年：平稳增长段</w:t>
      </w:r>
    </w:p>
    <w:p>
      <w:pPr>
        <w:pStyle w:val="PreformattedText"/>
        <w:bidi w:val="0"/>
        <w:spacing w:before="0" w:after="283"/>
        <w:jc w:val="start"/>
        <w:rPr/>
      </w:pPr>
      <w:r>
        <w:rPr>
          <w:rStyle w:val="SourceText"/>
        </w:rPr>
        <w:t xml:space="preserve">2020-2023 </w:t>
      </w:r>
      <w:r>
        <w:rPr>
          <w:rStyle w:val="SourceText"/>
        </w:rPr>
        <w:t>年：冲击后恢复段</w:t>
      </w:r>
    </w:p>
    <w:p>
      <w:pPr>
        <w:pStyle w:val="TextBody"/>
        <w:bidi w:val="0"/>
        <w:spacing w:before="120" w:after="120"/>
        <w:ind w:start="120" w:end="120" w:hanging="0"/>
        <w:jc w:val="start"/>
        <w:rPr/>
      </w:pPr>
      <w:r>
        <w:rPr/>
        <w:t>模型比较结果如下：</w:t>
      </w:r>
    </w:p>
    <w:tbl>
      <w:tblPr>
        <w:tblW w:w="7669" w:type="dxa"/>
        <w:jc w:val="start"/>
        <w:tblInd w:w="28" w:type="dxa"/>
        <w:tblCellMar>
          <w:top w:w="28" w:type="dxa"/>
          <w:start w:w="28" w:type="dxa"/>
          <w:bottom w:w="28" w:type="dxa"/>
          <w:end w:w="28" w:type="dxa"/>
        </w:tblCellMar>
      </w:tblPr>
      <w:tblGrid>
        <w:gridCol w:w="1816"/>
        <w:gridCol w:w="2011"/>
        <w:gridCol w:w="2011"/>
        <w:gridCol w:w="1831"/>
      </w:tblGrid>
      <w:tr>
        <w:trPr/>
        <w:tc>
          <w:tcPr>
            <w:tcW w:w="1816" w:type="dxa"/>
            <w:tcBorders/>
            <w:vAlign w:val="center"/>
          </w:tcPr>
          <w:p>
            <w:pPr>
              <w:pStyle w:val="TableHeading"/>
              <w:suppressLineNumbers/>
              <w:shd w:fill="EEF2F7" w:val="clear"/>
              <w:bidi w:val="0"/>
              <w:spacing w:before="120" w:after="120"/>
              <w:jc w:val="center"/>
              <w:rPr/>
            </w:pPr>
            <w:r>
              <w:rPr/>
              <w:t>指标</w:t>
            </w:r>
          </w:p>
        </w:tc>
        <w:tc>
          <w:tcPr>
            <w:tcW w:w="2011" w:type="dxa"/>
            <w:tcBorders/>
            <w:vAlign w:val="center"/>
          </w:tcPr>
          <w:p>
            <w:pPr>
              <w:pStyle w:val="TableHeading"/>
              <w:suppressLineNumbers/>
              <w:shd w:fill="EEF2F7" w:val="clear"/>
              <w:bidi w:val="0"/>
              <w:spacing w:before="120" w:after="120"/>
              <w:jc w:val="center"/>
              <w:rPr/>
            </w:pPr>
            <w:r>
              <w:rPr/>
              <w:t xml:space="preserve">全周期线性 </w:t>
            </w:r>
            <w:r>
              <w:rPr/>
              <w:t>RMSE</w:t>
            </w:r>
          </w:p>
        </w:tc>
        <w:tc>
          <w:tcPr>
            <w:tcW w:w="2011" w:type="dxa"/>
            <w:tcBorders/>
            <w:vAlign w:val="center"/>
          </w:tcPr>
          <w:p>
            <w:pPr>
              <w:pStyle w:val="TableHeading"/>
              <w:suppressLineNumbers/>
              <w:shd w:fill="EEF2F7" w:val="clear"/>
              <w:bidi w:val="0"/>
              <w:spacing w:before="120" w:after="120"/>
              <w:jc w:val="center"/>
              <w:rPr/>
            </w:pPr>
            <w:r>
              <w:rPr/>
              <w:t xml:space="preserve">全周期二次 </w:t>
            </w:r>
            <w:r>
              <w:rPr/>
              <w:t>RMSE</w:t>
            </w:r>
          </w:p>
        </w:tc>
        <w:tc>
          <w:tcPr>
            <w:tcW w:w="1831" w:type="dxa"/>
            <w:tcBorders/>
            <w:vAlign w:val="center"/>
          </w:tcPr>
          <w:p>
            <w:pPr>
              <w:pStyle w:val="TableHeading"/>
              <w:suppressLineNumbers/>
              <w:shd w:fill="EEF2F7" w:val="clear"/>
              <w:bidi w:val="0"/>
              <w:spacing w:before="120" w:after="120"/>
              <w:jc w:val="center"/>
              <w:rPr/>
            </w:pPr>
            <w:r>
              <w:rPr/>
              <w:t xml:space="preserve">分段线性 </w:t>
            </w:r>
            <w:r>
              <w:rPr/>
              <w:t>RMSE</w:t>
            </w:r>
          </w:p>
        </w:tc>
      </w:tr>
      <w:tr>
        <w:trPr/>
        <w:tc>
          <w:tcPr>
            <w:tcW w:w="1816" w:type="dxa"/>
            <w:tcBorders/>
            <w:vAlign w:val="center"/>
          </w:tcPr>
          <w:p>
            <w:pPr>
              <w:pStyle w:val="TableContents"/>
              <w:bidi w:val="0"/>
              <w:spacing w:before="120" w:after="120"/>
              <w:jc w:val="center"/>
              <w:rPr/>
            </w:pPr>
            <w:r>
              <w:rPr/>
              <w:t>国内游客</w:t>
            </w:r>
          </w:p>
        </w:tc>
        <w:tc>
          <w:tcPr>
            <w:tcW w:w="2011" w:type="dxa"/>
            <w:tcBorders/>
            <w:vAlign w:val="center"/>
          </w:tcPr>
          <w:p>
            <w:pPr>
              <w:pStyle w:val="TableContents"/>
              <w:bidi w:val="0"/>
              <w:spacing w:before="120" w:after="120"/>
              <w:jc w:val="center"/>
              <w:rPr/>
            </w:pPr>
            <w:r>
              <w:rPr/>
              <w:t>1082.5</w:t>
            </w:r>
          </w:p>
        </w:tc>
        <w:tc>
          <w:tcPr>
            <w:tcW w:w="2011" w:type="dxa"/>
            <w:tcBorders/>
            <w:vAlign w:val="center"/>
          </w:tcPr>
          <w:p>
            <w:pPr>
              <w:pStyle w:val="TableContents"/>
              <w:bidi w:val="0"/>
              <w:spacing w:before="120" w:after="120"/>
              <w:jc w:val="center"/>
              <w:rPr/>
            </w:pPr>
            <w:r>
              <w:rPr/>
              <w:t>1017.3</w:t>
            </w:r>
          </w:p>
        </w:tc>
        <w:tc>
          <w:tcPr>
            <w:tcW w:w="1831" w:type="dxa"/>
            <w:tcBorders/>
            <w:vAlign w:val="center"/>
          </w:tcPr>
          <w:p>
            <w:pPr>
              <w:pStyle w:val="TableContents"/>
              <w:bidi w:val="0"/>
              <w:spacing w:before="120" w:after="120"/>
              <w:jc w:val="center"/>
              <w:rPr/>
            </w:pPr>
            <w:r>
              <w:rPr/>
              <w:t>432.8</w:t>
            </w:r>
          </w:p>
        </w:tc>
      </w:tr>
      <w:tr>
        <w:trPr/>
        <w:tc>
          <w:tcPr>
            <w:tcW w:w="1816" w:type="dxa"/>
            <w:tcBorders/>
            <w:vAlign w:val="center"/>
          </w:tcPr>
          <w:p>
            <w:pPr>
              <w:pStyle w:val="TableContents"/>
              <w:bidi w:val="0"/>
              <w:spacing w:before="120" w:after="120"/>
              <w:jc w:val="center"/>
              <w:rPr/>
            </w:pPr>
            <w:r>
              <w:rPr/>
              <w:t>国内旅游总花费</w:t>
            </w:r>
          </w:p>
        </w:tc>
        <w:tc>
          <w:tcPr>
            <w:tcW w:w="2011" w:type="dxa"/>
            <w:tcBorders/>
            <w:vAlign w:val="center"/>
          </w:tcPr>
          <w:p>
            <w:pPr>
              <w:pStyle w:val="TableContents"/>
              <w:bidi w:val="0"/>
              <w:spacing w:before="120" w:after="120"/>
              <w:jc w:val="center"/>
              <w:rPr/>
            </w:pPr>
            <w:r>
              <w:rPr/>
              <w:t>11968.2</w:t>
            </w:r>
          </w:p>
        </w:tc>
        <w:tc>
          <w:tcPr>
            <w:tcW w:w="2011" w:type="dxa"/>
            <w:tcBorders/>
            <w:vAlign w:val="center"/>
          </w:tcPr>
          <w:p>
            <w:pPr>
              <w:pStyle w:val="TableContents"/>
              <w:bidi w:val="0"/>
              <w:spacing w:before="120" w:after="120"/>
              <w:jc w:val="center"/>
              <w:rPr/>
            </w:pPr>
            <w:r>
              <w:rPr/>
              <w:t>11498.7</w:t>
            </w:r>
          </w:p>
        </w:tc>
        <w:tc>
          <w:tcPr>
            <w:tcW w:w="1831" w:type="dxa"/>
            <w:tcBorders/>
            <w:vAlign w:val="center"/>
          </w:tcPr>
          <w:p>
            <w:pPr>
              <w:pStyle w:val="TableContents"/>
              <w:bidi w:val="0"/>
              <w:spacing w:before="120" w:after="120"/>
              <w:jc w:val="center"/>
              <w:rPr/>
            </w:pPr>
            <w:r>
              <w:rPr/>
              <w:t>5118.5</w:t>
            </w:r>
          </w:p>
        </w:tc>
      </w:tr>
    </w:tbl>
    <w:p>
      <w:pPr>
        <w:pStyle w:val="TextBody"/>
        <w:bidi w:val="0"/>
        <w:spacing w:before="120" w:after="120"/>
        <w:ind w:start="120" w:end="120" w:hanging="0"/>
        <w:jc w:val="start"/>
        <w:rPr/>
      </w:pPr>
      <w:r>
        <w:rPr/>
        <w:t xml:space="preserve">可以看出，分段线性模型误差明显低于全周期模型。虽然二次模型在样本内 </w:t>
      </w:r>
      <w:r>
        <w:rPr/>
        <w:t xml:space="preserve">RMSE </w:t>
      </w:r>
      <w:r>
        <w:rPr/>
        <w:t xml:space="preserve">略低于全周期线性模型，但留一交叉验证误差更高。例如国内游客二次模型 </w:t>
      </w:r>
      <w:r>
        <w:rPr/>
        <w:t xml:space="preserve">LOOCV RMSE </w:t>
      </w:r>
      <w:r>
        <w:rPr/>
        <w:t xml:space="preserve">为 </w:t>
      </w:r>
      <w:r>
        <w:rPr/>
        <w:t>1747.7</w:t>
      </w:r>
      <w:r>
        <w:rPr/>
        <w:t xml:space="preserve">，高于全周期线性模型的 </w:t>
      </w:r>
      <w:r>
        <w:rPr/>
        <w:t>1340.5</w:t>
      </w:r>
      <w:r>
        <w:rPr/>
        <w:t>，说明小样本下高阶模型外推不稳定。因此，本文采用分段低次最小二乘作为主要拟合方式。</w:t>
      </w:r>
    </w:p>
    <w:p>
      <w:pPr>
        <w:pStyle w:val="TextBody"/>
        <w:bidi w:val="0"/>
        <w:spacing w:before="120" w:after="120"/>
        <w:ind w:start="120" w:end="120" w:hanging="0"/>
        <w:jc w:val="start"/>
        <w:rPr/>
      </w:pPr>
      <w:r>
        <w:rPr/>
        <w:t>核心代码如下：</w:t>
      </w:r>
    </w:p>
    <w:p>
      <w:pPr>
        <w:pStyle w:val="PreformattedText"/>
        <w:pBdr/>
        <w:shd w:fill="F3F4F6" w:val="clear"/>
        <w:bidi w:val="0"/>
        <w:spacing w:before="0" w:after="0"/>
        <w:jc w:val="start"/>
        <w:rPr/>
      </w:pPr>
      <w:r>
        <w:rPr>
          <w:rStyle w:val="SourceText"/>
        </w:rPr>
        <w:t>def least_squares_line(x_values, y_values):</w:t>
      </w:r>
    </w:p>
    <w:p>
      <w:pPr>
        <w:pStyle w:val="PreformattedText"/>
        <w:pBdr/>
        <w:shd w:fill="F3F4F6" w:val="clear"/>
        <w:bidi w:val="0"/>
        <w:spacing w:before="0" w:after="0"/>
        <w:jc w:val="start"/>
        <w:rPr/>
      </w:pPr>
      <w:r>
        <w:rPr>
          <w:rStyle w:val="SourceText"/>
        </w:rPr>
        <w:t xml:space="preserve">    </w:t>
      </w:r>
      <w:r>
        <w:rPr>
          <w:rStyle w:val="SourceText"/>
        </w:rPr>
        <w:t>x_mean = sum(x_values) / len(x_values)</w:t>
      </w:r>
    </w:p>
    <w:p>
      <w:pPr>
        <w:pStyle w:val="PreformattedText"/>
        <w:pBdr/>
        <w:shd w:fill="F3F4F6" w:val="clear"/>
        <w:bidi w:val="0"/>
        <w:spacing w:before="0" w:after="0"/>
        <w:jc w:val="start"/>
        <w:rPr/>
      </w:pPr>
      <w:r>
        <w:rPr>
          <w:rStyle w:val="SourceText"/>
        </w:rPr>
        <w:t xml:space="preserve">    </w:t>
      </w:r>
      <w:r>
        <w:rPr>
          <w:rStyle w:val="SourceText"/>
        </w:rPr>
        <w:t>y_mean = sum(y_values) / len(y_values)</w:t>
      </w:r>
    </w:p>
    <w:p>
      <w:pPr>
        <w:pStyle w:val="PreformattedText"/>
        <w:pBdr/>
        <w:shd w:fill="F3F4F6" w:val="clear"/>
        <w:bidi w:val="0"/>
        <w:spacing w:before="0" w:after="0"/>
        <w:jc w:val="start"/>
        <w:rPr/>
      </w:pPr>
      <w:r>
        <w:rPr>
          <w:rStyle w:val="SourceText"/>
        </w:rPr>
        <w:t xml:space="preserve">    </w:t>
      </w:r>
      <w:r>
        <w:rPr>
          <w:rStyle w:val="SourceText"/>
        </w:rPr>
        <w:t>numerator = sum((x - x_mean) * (y - y_mean)</w:t>
      </w:r>
    </w:p>
    <w:p>
      <w:pPr>
        <w:pStyle w:val="PreformattedText"/>
        <w:pBdr/>
        <w:shd w:fill="F3F4F6" w:val="clear"/>
        <w:bidi w:val="0"/>
        <w:spacing w:before="0" w:after="0"/>
        <w:jc w:val="start"/>
        <w:rPr/>
      </w:pPr>
      <w:r>
        <w:rPr>
          <w:rStyle w:val="SourceText"/>
        </w:rPr>
        <w:t xml:space="preserve">                    </w:t>
      </w:r>
      <w:r>
        <w:rPr>
          <w:rStyle w:val="SourceText"/>
        </w:rPr>
        <w:t>for x, y in zip(x_values, y_values))</w:t>
      </w:r>
    </w:p>
    <w:p>
      <w:pPr>
        <w:pStyle w:val="PreformattedText"/>
        <w:pBdr/>
        <w:shd w:fill="F3F4F6" w:val="clear"/>
        <w:bidi w:val="0"/>
        <w:spacing w:before="0" w:after="0"/>
        <w:jc w:val="start"/>
        <w:rPr/>
      </w:pPr>
      <w:r>
        <w:rPr>
          <w:rStyle w:val="SourceText"/>
        </w:rPr>
        <w:t xml:space="preserve">    </w:t>
      </w:r>
      <w:r>
        <w:rPr>
          <w:rStyle w:val="SourceText"/>
        </w:rPr>
        <w:t>denominator = sum((x - x_mean) ** 2 for x in x_values)</w:t>
      </w:r>
    </w:p>
    <w:p>
      <w:pPr>
        <w:pStyle w:val="PreformattedText"/>
        <w:pBdr/>
        <w:shd w:fill="F3F4F6" w:val="clear"/>
        <w:bidi w:val="0"/>
        <w:spacing w:before="0" w:after="0"/>
        <w:jc w:val="start"/>
        <w:rPr/>
      </w:pPr>
      <w:r>
        <w:rPr>
          <w:rStyle w:val="SourceText"/>
        </w:rPr>
        <w:t xml:space="preserve">    </w:t>
      </w:r>
      <w:r>
        <w:rPr>
          <w:rStyle w:val="SourceText"/>
        </w:rPr>
        <w:t>slope = numerator / denominator</w:t>
      </w:r>
    </w:p>
    <w:p>
      <w:pPr>
        <w:pStyle w:val="PreformattedText"/>
        <w:pBdr/>
        <w:shd w:fill="F3F4F6" w:val="clear"/>
        <w:bidi w:val="0"/>
        <w:spacing w:before="0" w:after="0"/>
        <w:jc w:val="start"/>
        <w:rPr/>
      </w:pPr>
      <w:r>
        <w:rPr>
          <w:rStyle w:val="SourceText"/>
        </w:rPr>
        <w:t xml:space="preserve">    </w:t>
      </w:r>
      <w:r>
        <w:rPr>
          <w:rStyle w:val="SourceText"/>
        </w:rPr>
        <w:t>intercept = y_mean - slope * x_mean</w:t>
      </w:r>
    </w:p>
    <w:p>
      <w:pPr>
        <w:pStyle w:val="PreformattedText"/>
        <w:bidi w:val="0"/>
        <w:spacing w:before="0" w:after="283"/>
        <w:jc w:val="start"/>
        <w:rPr/>
      </w:pPr>
      <w:r>
        <w:rPr>
          <w:rStyle w:val="SourceText"/>
        </w:rPr>
        <w:t xml:space="preserve">    </w:t>
      </w:r>
      <w:r>
        <w:rPr>
          <w:rStyle w:val="SourceText"/>
        </w:rPr>
        <w:t>return slope, intercept</w:t>
      </w:r>
    </w:p>
    <w:p>
      <w:pPr>
        <w:pStyle w:val="Heading3"/>
        <w:bidi w:val="0"/>
        <w:jc w:val="start"/>
        <w:rPr/>
      </w:pPr>
      <w:r>
        <w:rPr/>
        <w:t xml:space="preserve">3. </w:t>
      </w:r>
      <w:r>
        <w:rPr/>
        <w:t>反事实缺口分析</w:t>
      </w:r>
    </w:p>
    <w:p>
      <w:pPr>
        <w:pStyle w:val="TextBody"/>
        <w:bidi w:val="0"/>
        <w:spacing w:before="120" w:after="120"/>
        <w:ind w:start="120" w:end="120" w:hanging="0"/>
        <w:jc w:val="start"/>
        <w:rPr/>
      </w:pPr>
      <w:r>
        <w:rPr/>
        <w:t xml:space="preserve">为了衡量文旅需求恢复到什么程度，本文用 </w:t>
      </w:r>
      <w:r>
        <w:rPr/>
        <w:t xml:space="preserve">2014-2019 </w:t>
      </w:r>
      <w:r>
        <w:rPr/>
        <w:t xml:space="preserve">年平稳增长趋势构造“无冲击情景”的反事实基准，并计算 </w:t>
      </w:r>
      <w:r>
        <w:rPr/>
        <w:t xml:space="preserve">2020-2023 </w:t>
      </w:r>
      <w:r>
        <w:rPr/>
        <w:t>年实际值与该基准的差距。</w:t>
      </w:r>
    </w:p>
    <w:p>
      <w:pPr>
        <w:pStyle w:val="TextBody"/>
        <w:bidi w:val="0"/>
        <w:spacing w:before="120" w:after="120"/>
        <w:ind w:start="120" w:end="120" w:hanging="0"/>
        <w:jc w:val="start"/>
        <w:rPr/>
      </w:pPr>
      <w:r>
        <w:rPr/>
        <w:t>国内游客方面：</w:t>
      </w:r>
    </w:p>
    <w:tbl>
      <w:tblPr>
        <w:tblW w:w="4683" w:type="dxa"/>
        <w:jc w:val="start"/>
        <w:tblInd w:w="28" w:type="dxa"/>
        <w:tblCellMar>
          <w:top w:w="28" w:type="dxa"/>
          <w:start w:w="28" w:type="dxa"/>
          <w:bottom w:w="28" w:type="dxa"/>
          <w:end w:w="28" w:type="dxa"/>
        </w:tblCellMar>
      </w:tblPr>
      <w:tblGrid>
        <w:gridCol w:w="721"/>
        <w:gridCol w:w="1891"/>
        <w:gridCol w:w="2071"/>
      </w:tblGrid>
      <w:tr>
        <w:trPr/>
        <w:tc>
          <w:tcPr>
            <w:tcW w:w="721" w:type="dxa"/>
            <w:tcBorders/>
            <w:vAlign w:val="center"/>
          </w:tcPr>
          <w:p>
            <w:pPr>
              <w:pStyle w:val="TableHeading"/>
              <w:suppressLineNumbers/>
              <w:shd w:fill="EEF2F7" w:val="clear"/>
              <w:bidi w:val="0"/>
              <w:spacing w:before="120" w:after="120"/>
              <w:jc w:val="center"/>
              <w:rPr/>
            </w:pPr>
            <w:r>
              <w:rPr/>
              <w:t>年份</w:t>
            </w:r>
          </w:p>
        </w:tc>
        <w:tc>
          <w:tcPr>
            <w:tcW w:w="1891" w:type="dxa"/>
            <w:tcBorders/>
            <w:vAlign w:val="center"/>
          </w:tcPr>
          <w:p>
            <w:pPr>
              <w:pStyle w:val="TableHeading"/>
              <w:suppressLineNumbers/>
              <w:shd w:fill="EEF2F7" w:val="clear"/>
              <w:bidi w:val="0"/>
              <w:spacing w:before="120" w:after="120"/>
              <w:jc w:val="center"/>
              <w:rPr/>
            </w:pPr>
            <w:r>
              <w:rPr/>
              <w:t>实际值</w:t>
            </w:r>
            <w:r>
              <w:rPr/>
              <w:t>/</w:t>
            </w:r>
            <w:r>
              <w:rPr/>
              <w:t>平稳趋势</w:t>
            </w:r>
          </w:p>
        </w:tc>
        <w:tc>
          <w:tcPr>
            <w:tcW w:w="2071" w:type="dxa"/>
            <w:tcBorders/>
            <w:vAlign w:val="center"/>
          </w:tcPr>
          <w:p>
            <w:pPr>
              <w:pStyle w:val="TableHeading"/>
              <w:suppressLineNumbers/>
              <w:shd w:fill="EEF2F7" w:val="clear"/>
              <w:bidi w:val="0"/>
              <w:spacing w:before="120" w:after="120"/>
              <w:jc w:val="center"/>
              <w:rPr/>
            </w:pPr>
            <w:r>
              <w:rPr/>
              <w:t>缺口（百万人次）</w:t>
            </w:r>
          </w:p>
        </w:tc>
      </w:tr>
      <w:tr>
        <w:trPr/>
        <w:tc>
          <w:tcPr>
            <w:tcW w:w="721" w:type="dxa"/>
            <w:tcBorders/>
            <w:vAlign w:val="center"/>
          </w:tcPr>
          <w:p>
            <w:pPr>
              <w:pStyle w:val="TableContents"/>
              <w:bidi w:val="0"/>
              <w:spacing w:before="120" w:after="120"/>
              <w:jc w:val="center"/>
              <w:rPr/>
            </w:pPr>
            <w:r>
              <w:rPr/>
              <w:t>2020</w:t>
            </w:r>
          </w:p>
        </w:tc>
        <w:tc>
          <w:tcPr>
            <w:tcW w:w="1891" w:type="dxa"/>
            <w:tcBorders/>
            <w:vAlign w:val="center"/>
          </w:tcPr>
          <w:p>
            <w:pPr>
              <w:pStyle w:val="TableContents"/>
              <w:bidi w:val="0"/>
              <w:spacing w:before="120" w:after="120"/>
              <w:jc w:val="center"/>
              <w:rPr/>
            </w:pPr>
            <w:r>
              <w:rPr/>
              <w:t>44.42%</w:t>
            </w:r>
          </w:p>
        </w:tc>
        <w:tc>
          <w:tcPr>
            <w:tcW w:w="2071" w:type="dxa"/>
            <w:tcBorders/>
            <w:vAlign w:val="center"/>
          </w:tcPr>
          <w:p>
            <w:pPr>
              <w:pStyle w:val="TableContents"/>
              <w:bidi w:val="0"/>
              <w:spacing w:before="120" w:after="120"/>
              <w:jc w:val="center"/>
              <w:rPr/>
            </w:pPr>
            <w:r>
              <w:rPr/>
              <w:t>-3602.5</w:t>
            </w:r>
          </w:p>
        </w:tc>
      </w:tr>
      <w:tr>
        <w:trPr/>
        <w:tc>
          <w:tcPr>
            <w:tcW w:w="721" w:type="dxa"/>
            <w:tcBorders/>
            <w:vAlign w:val="center"/>
          </w:tcPr>
          <w:p>
            <w:pPr>
              <w:pStyle w:val="TableContents"/>
              <w:bidi w:val="0"/>
              <w:spacing w:before="120" w:after="120"/>
              <w:jc w:val="center"/>
              <w:rPr/>
            </w:pPr>
            <w:r>
              <w:rPr/>
              <w:t>2021</w:t>
            </w:r>
          </w:p>
        </w:tc>
        <w:tc>
          <w:tcPr>
            <w:tcW w:w="1891" w:type="dxa"/>
            <w:tcBorders/>
            <w:vAlign w:val="center"/>
          </w:tcPr>
          <w:p>
            <w:pPr>
              <w:pStyle w:val="TableContents"/>
              <w:bidi w:val="0"/>
              <w:spacing w:before="120" w:after="120"/>
              <w:jc w:val="center"/>
              <w:rPr/>
            </w:pPr>
            <w:r>
              <w:rPr/>
              <w:t>46.56%</w:t>
            </w:r>
          </w:p>
        </w:tc>
        <w:tc>
          <w:tcPr>
            <w:tcW w:w="2071" w:type="dxa"/>
            <w:tcBorders/>
            <w:vAlign w:val="center"/>
          </w:tcPr>
          <w:p>
            <w:pPr>
              <w:pStyle w:val="TableContents"/>
              <w:bidi w:val="0"/>
              <w:spacing w:before="120" w:after="120"/>
              <w:jc w:val="center"/>
              <w:rPr/>
            </w:pPr>
            <w:r>
              <w:rPr/>
              <w:t>-3725.6</w:t>
            </w:r>
          </w:p>
        </w:tc>
      </w:tr>
      <w:tr>
        <w:trPr/>
        <w:tc>
          <w:tcPr>
            <w:tcW w:w="721" w:type="dxa"/>
            <w:tcBorders/>
            <w:vAlign w:val="center"/>
          </w:tcPr>
          <w:p>
            <w:pPr>
              <w:pStyle w:val="TableContents"/>
              <w:bidi w:val="0"/>
              <w:spacing w:before="120" w:after="120"/>
              <w:jc w:val="center"/>
              <w:rPr/>
            </w:pPr>
            <w:r>
              <w:rPr/>
              <w:t>2022</w:t>
            </w:r>
          </w:p>
        </w:tc>
        <w:tc>
          <w:tcPr>
            <w:tcW w:w="1891" w:type="dxa"/>
            <w:tcBorders/>
            <w:vAlign w:val="center"/>
          </w:tcPr>
          <w:p>
            <w:pPr>
              <w:pStyle w:val="TableContents"/>
              <w:bidi w:val="0"/>
              <w:spacing w:before="120" w:after="120"/>
              <w:jc w:val="center"/>
              <w:rPr/>
            </w:pPr>
            <w:r>
              <w:rPr/>
              <w:t>33.91%</w:t>
            </w:r>
          </w:p>
        </w:tc>
        <w:tc>
          <w:tcPr>
            <w:tcW w:w="2071" w:type="dxa"/>
            <w:tcBorders/>
            <w:vAlign w:val="center"/>
          </w:tcPr>
          <w:p>
            <w:pPr>
              <w:pStyle w:val="TableContents"/>
              <w:bidi w:val="0"/>
              <w:spacing w:before="120" w:after="120"/>
              <w:jc w:val="center"/>
              <w:rPr/>
            </w:pPr>
            <w:r>
              <w:rPr/>
              <w:t>-4931.6</w:t>
            </w:r>
          </w:p>
        </w:tc>
      </w:tr>
      <w:tr>
        <w:trPr/>
        <w:tc>
          <w:tcPr>
            <w:tcW w:w="721" w:type="dxa"/>
            <w:tcBorders/>
            <w:vAlign w:val="center"/>
          </w:tcPr>
          <w:p>
            <w:pPr>
              <w:pStyle w:val="TableContents"/>
              <w:bidi w:val="0"/>
              <w:spacing w:before="120" w:after="120"/>
              <w:jc w:val="center"/>
              <w:rPr/>
            </w:pPr>
            <w:r>
              <w:rPr/>
              <w:t>2023</w:t>
            </w:r>
          </w:p>
        </w:tc>
        <w:tc>
          <w:tcPr>
            <w:tcW w:w="1891" w:type="dxa"/>
            <w:tcBorders/>
            <w:vAlign w:val="center"/>
          </w:tcPr>
          <w:p>
            <w:pPr>
              <w:pStyle w:val="TableContents"/>
              <w:bidi w:val="0"/>
              <w:spacing w:before="120" w:after="120"/>
              <w:jc w:val="center"/>
              <w:rPr/>
            </w:pPr>
            <w:r>
              <w:rPr/>
              <w:t>61.51%</w:t>
            </w:r>
          </w:p>
        </w:tc>
        <w:tc>
          <w:tcPr>
            <w:tcW w:w="2071" w:type="dxa"/>
            <w:tcBorders/>
            <w:vAlign w:val="center"/>
          </w:tcPr>
          <w:p>
            <w:pPr>
              <w:pStyle w:val="TableContents"/>
              <w:bidi w:val="0"/>
              <w:spacing w:before="120" w:after="120"/>
              <w:jc w:val="center"/>
              <w:rPr/>
            </w:pPr>
            <w:r>
              <w:rPr/>
              <w:t>-3060.7</w:t>
            </w:r>
          </w:p>
        </w:tc>
      </w:tr>
    </w:tbl>
    <w:p>
      <w:pPr>
        <w:pStyle w:val="TextBody"/>
        <w:bidi w:val="0"/>
        <w:spacing w:before="120" w:after="120"/>
        <w:ind w:start="120" w:end="120" w:hanging="0"/>
        <w:jc w:val="start"/>
        <w:rPr/>
      </w:pPr>
      <w:r>
        <w:rPr/>
        <w:t>国内旅游总花费方面：</w:t>
      </w:r>
    </w:p>
    <w:tbl>
      <w:tblPr>
        <w:tblW w:w="4233" w:type="dxa"/>
        <w:jc w:val="start"/>
        <w:tblInd w:w="28" w:type="dxa"/>
        <w:tblCellMar>
          <w:top w:w="28" w:type="dxa"/>
          <w:start w:w="28" w:type="dxa"/>
          <w:bottom w:w="28" w:type="dxa"/>
          <w:end w:w="28" w:type="dxa"/>
        </w:tblCellMar>
      </w:tblPr>
      <w:tblGrid>
        <w:gridCol w:w="721"/>
        <w:gridCol w:w="1891"/>
        <w:gridCol w:w="1621"/>
      </w:tblGrid>
      <w:tr>
        <w:trPr/>
        <w:tc>
          <w:tcPr>
            <w:tcW w:w="721" w:type="dxa"/>
            <w:tcBorders/>
            <w:vAlign w:val="center"/>
          </w:tcPr>
          <w:p>
            <w:pPr>
              <w:pStyle w:val="TableHeading"/>
              <w:suppressLineNumbers/>
              <w:shd w:fill="EEF2F7" w:val="clear"/>
              <w:bidi w:val="0"/>
              <w:spacing w:before="120" w:after="120"/>
              <w:jc w:val="center"/>
              <w:rPr/>
            </w:pPr>
            <w:r>
              <w:rPr/>
              <w:t>年份</w:t>
            </w:r>
          </w:p>
        </w:tc>
        <w:tc>
          <w:tcPr>
            <w:tcW w:w="1891" w:type="dxa"/>
            <w:tcBorders/>
            <w:vAlign w:val="center"/>
          </w:tcPr>
          <w:p>
            <w:pPr>
              <w:pStyle w:val="TableHeading"/>
              <w:suppressLineNumbers/>
              <w:shd w:fill="EEF2F7" w:val="clear"/>
              <w:bidi w:val="0"/>
              <w:spacing w:before="120" w:after="120"/>
              <w:jc w:val="center"/>
              <w:rPr/>
            </w:pPr>
            <w:r>
              <w:rPr/>
              <w:t>实际值</w:t>
            </w:r>
            <w:r>
              <w:rPr/>
              <w:t>/</w:t>
            </w:r>
            <w:r>
              <w:rPr/>
              <w:t>平稳趋势</w:t>
            </w:r>
          </w:p>
        </w:tc>
        <w:tc>
          <w:tcPr>
            <w:tcW w:w="1621" w:type="dxa"/>
            <w:tcBorders/>
            <w:vAlign w:val="center"/>
          </w:tcPr>
          <w:p>
            <w:pPr>
              <w:pStyle w:val="TableHeading"/>
              <w:suppressLineNumbers/>
              <w:shd w:fill="EEF2F7" w:val="clear"/>
              <w:bidi w:val="0"/>
              <w:spacing w:before="120" w:after="120"/>
              <w:jc w:val="center"/>
              <w:rPr/>
            </w:pPr>
            <w:r>
              <w:rPr/>
              <w:t>缺口（亿元）</w:t>
            </w:r>
          </w:p>
        </w:tc>
      </w:tr>
      <w:tr>
        <w:trPr/>
        <w:tc>
          <w:tcPr>
            <w:tcW w:w="721" w:type="dxa"/>
            <w:tcBorders/>
            <w:vAlign w:val="center"/>
          </w:tcPr>
          <w:p>
            <w:pPr>
              <w:pStyle w:val="TableContents"/>
              <w:bidi w:val="0"/>
              <w:spacing w:before="120" w:after="120"/>
              <w:jc w:val="center"/>
              <w:rPr/>
            </w:pPr>
            <w:r>
              <w:rPr/>
              <w:t>2020</w:t>
            </w:r>
          </w:p>
        </w:tc>
        <w:tc>
          <w:tcPr>
            <w:tcW w:w="1891" w:type="dxa"/>
            <w:tcBorders/>
            <w:vAlign w:val="center"/>
          </w:tcPr>
          <w:p>
            <w:pPr>
              <w:pStyle w:val="TableContents"/>
              <w:bidi w:val="0"/>
              <w:spacing w:before="120" w:after="120"/>
              <w:jc w:val="center"/>
              <w:rPr/>
            </w:pPr>
            <w:r>
              <w:rPr/>
              <w:t>35.81%</w:t>
            </w:r>
          </w:p>
        </w:tc>
        <w:tc>
          <w:tcPr>
            <w:tcW w:w="1621" w:type="dxa"/>
            <w:tcBorders/>
            <w:vAlign w:val="center"/>
          </w:tcPr>
          <w:p>
            <w:pPr>
              <w:pStyle w:val="TableContents"/>
              <w:bidi w:val="0"/>
              <w:spacing w:before="120" w:after="120"/>
              <w:jc w:val="center"/>
              <w:rPr/>
            </w:pPr>
            <w:r>
              <w:rPr/>
              <w:t>-39949.8</w:t>
            </w:r>
          </w:p>
        </w:tc>
      </w:tr>
      <w:tr>
        <w:trPr/>
        <w:tc>
          <w:tcPr>
            <w:tcW w:w="721" w:type="dxa"/>
            <w:tcBorders/>
            <w:vAlign w:val="center"/>
          </w:tcPr>
          <w:p>
            <w:pPr>
              <w:pStyle w:val="TableContents"/>
              <w:bidi w:val="0"/>
              <w:spacing w:before="120" w:after="120"/>
              <w:jc w:val="center"/>
              <w:rPr/>
            </w:pPr>
            <w:r>
              <w:rPr/>
              <w:t>2021</w:t>
            </w:r>
          </w:p>
        </w:tc>
        <w:tc>
          <w:tcPr>
            <w:tcW w:w="1891" w:type="dxa"/>
            <w:tcBorders/>
            <w:vAlign w:val="center"/>
          </w:tcPr>
          <w:p>
            <w:pPr>
              <w:pStyle w:val="TableContents"/>
              <w:bidi w:val="0"/>
              <w:spacing w:before="120" w:after="120"/>
              <w:jc w:val="center"/>
              <w:rPr/>
            </w:pPr>
            <w:r>
              <w:rPr/>
              <w:t>43.10%</w:t>
            </w:r>
          </w:p>
        </w:tc>
        <w:tc>
          <w:tcPr>
            <w:tcW w:w="1621" w:type="dxa"/>
            <w:tcBorders/>
            <w:vAlign w:val="center"/>
          </w:tcPr>
          <w:p>
            <w:pPr>
              <w:pStyle w:val="TableContents"/>
              <w:bidi w:val="0"/>
              <w:spacing w:before="120" w:after="120"/>
              <w:jc w:val="center"/>
              <w:rPr/>
            </w:pPr>
            <w:r>
              <w:rPr/>
              <w:t>-38537.0</w:t>
            </w:r>
          </w:p>
        </w:tc>
      </w:tr>
      <w:tr>
        <w:trPr/>
        <w:tc>
          <w:tcPr>
            <w:tcW w:w="721" w:type="dxa"/>
            <w:tcBorders/>
            <w:vAlign w:val="center"/>
          </w:tcPr>
          <w:p>
            <w:pPr>
              <w:pStyle w:val="TableContents"/>
              <w:bidi w:val="0"/>
              <w:spacing w:before="120" w:after="120"/>
              <w:jc w:val="center"/>
              <w:rPr/>
            </w:pPr>
            <w:r>
              <w:rPr/>
              <w:t>2022</w:t>
            </w:r>
          </w:p>
        </w:tc>
        <w:tc>
          <w:tcPr>
            <w:tcW w:w="1891" w:type="dxa"/>
            <w:tcBorders/>
            <w:vAlign w:val="center"/>
          </w:tcPr>
          <w:p>
            <w:pPr>
              <w:pStyle w:val="TableContents"/>
              <w:bidi w:val="0"/>
              <w:spacing w:before="120" w:after="120"/>
              <w:jc w:val="center"/>
              <w:rPr/>
            </w:pPr>
            <w:r>
              <w:rPr/>
              <w:t>27.92%</w:t>
            </w:r>
          </w:p>
        </w:tc>
        <w:tc>
          <w:tcPr>
            <w:tcW w:w="1621" w:type="dxa"/>
            <w:tcBorders/>
            <w:vAlign w:val="center"/>
          </w:tcPr>
          <w:p>
            <w:pPr>
              <w:pStyle w:val="TableContents"/>
              <w:bidi w:val="0"/>
              <w:spacing w:before="120" w:after="120"/>
              <w:jc w:val="center"/>
              <w:rPr/>
            </w:pPr>
            <w:r>
              <w:rPr/>
              <w:t>-52775.9</w:t>
            </w:r>
          </w:p>
        </w:tc>
      </w:tr>
      <w:tr>
        <w:trPr/>
        <w:tc>
          <w:tcPr>
            <w:tcW w:w="721" w:type="dxa"/>
            <w:tcBorders/>
            <w:vAlign w:val="center"/>
          </w:tcPr>
          <w:p>
            <w:pPr>
              <w:pStyle w:val="TableContents"/>
              <w:bidi w:val="0"/>
              <w:spacing w:before="120" w:after="120"/>
              <w:jc w:val="center"/>
              <w:rPr/>
            </w:pPr>
            <w:r>
              <w:rPr/>
              <w:t>2023</w:t>
            </w:r>
          </w:p>
        </w:tc>
        <w:tc>
          <w:tcPr>
            <w:tcW w:w="1891" w:type="dxa"/>
            <w:tcBorders/>
            <w:vAlign w:val="center"/>
          </w:tcPr>
          <w:p>
            <w:pPr>
              <w:pStyle w:val="TableContents"/>
              <w:bidi w:val="0"/>
              <w:spacing w:before="120" w:after="120"/>
              <w:jc w:val="center"/>
              <w:rPr/>
            </w:pPr>
            <w:r>
              <w:rPr/>
              <w:t>62.42%</w:t>
            </w:r>
          </w:p>
        </w:tc>
        <w:tc>
          <w:tcPr>
            <w:tcW w:w="1621" w:type="dxa"/>
            <w:tcBorders/>
            <w:vAlign w:val="center"/>
          </w:tcPr>
          <w:p>
            <w:pPr>
              <w:pStyle w:val="TableContents"/>
              <w:bidi w:val="0"/>
              <w:spacing w:before="120" w:after="120"/>
              <w:jc w:val="center"/>
              <w:rPr/>
            </w:pPr>
            <w:r>
              <w:rPr/>
              <w:t>-29578.7</w:t>
            </w:r>
          </w:p>
        </w:tc>
      </w:tr>
    </w:tbl>
    <w:p>
      <w:pPr>
        <w:pStyle w:val="TextBody"/>
        <w:bidi w:val="0"/>
        <w:spacing w:before="120" w:after="120"/>
        <w:ind w:start="120" w:end="120" w:hanging="0"/>
        <w:jc w:val="start"/>
        <w:rPr/>
      </w:pPr>
      <w:r>
        <w:rPr/>
        <w:t>该结果表明，</w:t>
      </w:r>
      <w:r>
        <w:rPr/>
        <w:t xml:space="preserve">2023 </w:t>
      </w:r>
      <w:r>
        <w:rPr/>
        <w:t xml:space="preserve">年文旅需求虽然明显恢复，但与 </w:t>
      </w:r>
      <w:r>
        <w:rPr/>
        <w:t xml:space="preserve">2014-2019 </w:t>
      </w:r>
      <w:r>
        <w:rPr/>
        <w:t>年形成的平稳增长趋势相比，仍存在较大缺口。</w:t>
      </w:r>
    </w:p>
    <w:p>
      <w:pPr>
        <w:pStyle w:val="Heading2"/>
        <w:bidi w:val="0"/>
        <w:jc w:val="start"/>
        <w:rPr/>
      </w:pPr>
      <w:r>
        <w:rPr/>
        <w:t>四、结果分析与价值阐释</w:t>
      </w:r>
    </w:p>
    <w:p>
      <w:pPr>
        <w:pStyle w:val="TextBody"/>
        <w:bidi w:val="0"/>
        <w:spacing w:before="120" w:after="120"/>
        <w:ind w:start="120" w:end="120" w:hanging="0"/>
        <w:jc w:val="start"/>
        <w:rPr/>
      </w:pPr>
      <w:r>
        <w:rPr/>
        <w:t>从趋势上看，</w:t>
      </w:r>
      <w:r>
        <w:rPr/>
        <w:t xml:space="preserve">2014-2023 </w:t>
      </w:r>
      <w:r>
        <w:rPr/>
        <w:t xml:space="preserve">年全国博物馆数量从 </w:t>
      </w:r>
      <w:r>
        <w:rPr/>
        <w:t xml:space="preserve">3658 </w:t>
      </w:r>
      <w:r>
        <w:rPr/>
        <w:t xml:space="preserve">个增加到 </w:t>
      </w:r>
      <w:r>
        <w:rPr/>
        <w:t xml:space="preserve">6833 </w:t>
      </w:r>
      <w:r>
        <w:rPr/>
        <w:t xml:space="preserve">个，增长约 </w:t>
      </w:r>
      <w:r>
        <w:rPr/>
        <w:t>86.8%</w:t>
      </w:r>
      <w:r>
        <w:rPr/>
        <w:t xml:space="preserve">。这说明公共文化设施供给持续扩张，文化资源网络更加密集。但同期国内游客和旅游消费并不是单调增长，尤其在 </w:t>
      </w:r>
      <w:r>
        <w:rPr/>
        <w:t xml:space="preserve">2020 </w:t>
      </w:r>
      <w:r>
        <w:rPr/>
        <w:t>年出现明显下滑。这说明文旅产业复苏不是单纯由供给数量决定，还受到居民出行意愿、收入预期、公共卫生事件、交通条件和政策环境等因素影响。</w:t>
      </w:r>
    </w:p>
    <w:p>
      <w:pPr>
        <w:pStyle w:val="TextBody"/>
        <w:bidi w:val="0"/>
        <w:spacing w:before="120" w:after="120"/>
        <w:ind w:start="120" w:end="120" w:hanging="0"/>
        <w:jc w:val="start"/>
        <w:rPr/>
      </w:pPr>
      <w:r>
        <w:rPr/>
        <w:t>三点差分结果进一步揭示了这种结构变化。</w:t>
      </w:r>
      <w:r>
        <w:rPr/>
        <w:t xml:space="preserve">2020 </w:t>
      </w:r>
      <w:r>
        <w:rPr/>
        <w:t>年附近游客变化率显著转负，说明需求侧受到外生冲击；</w:t>
      </w:r>
      <w:r>
        <w:rPr/>
        <w:t xml:space="preserve">2023 </w:t>
      </w:r>
      <w:r>
        <w:rPr/>
        <w:t>年游客变化率明显转正，说明文旅需求进入快速恢复阶段。相比之下，博物馆数量的年度增量始终为正，说明文化供给侧并未停止扩张。这体现了“供给持续增长、需求阶段性受阻”的特征。</w:t>
      </w:r>
    </w:p>
    <w:p>
      <w:pPr>
        <w:pStyle w:val="TextBody"/>
        <w:bidi w:val="0"/>
        <w:spacing w:before="120" w:after="120"/>
        <w:ind w:start="120" w:end="120" w:hanging="0"/>
        <w:jc w:val="start"/>
        <w:rPr/>
      </w:pPr>
      <w:r>
        <w:rPr/>
        <w:t>分段最小二乘的结果说明，对于存在冲击的社会经济数据，不能简单使用全周期拟合。全周期模型会把平稳增长期和冲击期混在一起，导致模型解释力下降。分段低次模型既符合课程中函数逼近和最小二乘方法的思想，也能更好反映现实机制：</w:t>
      </w:r>
      <w:r>
        <w:rPr/>
        <w:t xml:space="preserve">2014-2019 </w:t>
      </w:r>
      <w:r>
        <w:rPr/>
        <w:t>年是文旅需求与文化供给共同增长阶段，</w:t>
      </w:r>
      <w:r>
        <w:rPr/>
        <w:t xml:space="preserve">2020 </w:t>
      </w:r>
      <w:r>
        <w:rPr/>
        <w:t>年后则是冲击与修复交织阶段。</w:t>
      </w:r>
    </w:p>
    <w:p>
      <w:pPr>
        <w:pStyle w:val="TextBody"/>
        <w:bidi w:val="0"/>
        <w:spacing w:before="120" w:after="120"/>
        <w:ind w:start="120" w:end="120" w:hanging="0"/>
        <w:jc w:val="start"/>
        <w:rPr/>
      </w:pPr>
      <w:r>
        <w:rPr/>
        <w:t>反事实缺口分析进一步表明，</w:t>
      </w:r>
      <w:r>
        <w:rPr/>
        <w:t xml:space="preserve">2023 </w:t>
      </w:r>
      <w:r>
        <w:rPr/>
        <w:t xml:space="preserve">年文旅需求并没有完全回到正常增长轨道。国内游客恢复到平稳趋势的 </w:t>
      </w:r>
      <w:r>
        <w:rPr/>
        <w:t>61.51%</w:t>
      </w:r>
      <w:r>
        <w:rPr/>
        <w:t xml:space="preserve">，旅游消费恢复到平稳趋势的 </w:t>
      </w:r>
      <w:r>
        <w:rPr/>
        <w:t>62.42%</w:t>
      </w:r>
      <w:r>
        <w:rPr/>
        <w:t>。这说明如果只看同比增长，可能会高估恢复程度；如果与平稳增长趋势比较，就能看到恢复仍存在缺口。</w:t>
      </w:r>
    </w:p>
    <w:p>
      <w:pPr>
        <w:pStyle w:val="TextBody"/>
        <w:bidi w:val="0"/>
        <w:spacing w:before="120" w:after="120"/>
        <w:ind w:start="120" w:end="120" w:hanging="0"/>
        <w:jc w:val="start"/>
        <w:rPr/>
      </w:pPr>
      <w:r>
        <w:rPr/>
        <w:t xml:space="preserve">从数字经济角度看，博物馆数量增长提供了文化供给基础，但数字经济的关键作用在于连接和转化。线上预约、智慧导览、数字展陈、短视频传播和文创电商等数字化手段，可以降低游客获取文化资源的成本，提高文化体验质量，并推动文化资源向消费场景转化。本文中人均旅游消费在 </w:t>
      </w:r>
      <w:r>
        <w:rPr/>
        <w:t xml:space="preserve">2023 </w:t>
      </w:r>
      <w:r>
        <w:rPr/>
        <w:t xml:space="preserve">年超过 </w:t>
      </w:r>
      <w:r>
        <w:rPr/>
        <w:t xml:space="preserve">2019 </w:t>
      </w:r>
      <w:r>
        <w:rPr/>
        <w:t>年，说明游客数量尚未完全恢复时，消费强度已经提升，这与文旅消费质量提升、数字化服务改善和文创消费扩展具有一定关联。</w:t>
      </w:r>
    </w:p>
    <w:p>
      <w:pPr>
        <w:pStyle w:val="TextBody"/>
        <w:bidi w:val="0"/>
        <w:spacing w:before="120" w:after="120"/>
        <w:ind w:start="120" w:end="120" w:hanging="0"/>
        <w:jc w:val="start"/>
        <w:rPr/>
      </w:pPr>
      <w:r>
        <w:rPr/>
        <w:t xml:space="preserve">本文也存在不足。第一，年度采样间隔较大，无法反映节假日、暑期和政策变化带来的月度波动。第二，样本点只有 </w:t>
      </w:r>
      <w:r>
        <w:rPr/>
        <w:t xml:space="preserve">10 </w:t>
      </w:r>
      <w:r>
        <w:rPr/>
        <w:t>个，高阶拟合容易不稳定，因此本文只采用低次分段模型。第三，博物馆数量与游客和消费之间可能存在滞后效应，新增供给不一定在当年立即转化为游客增长。第四，本文没有直接引入线上预约人数、数字展陈访问量等数字化指标，因此数字经济部分主要作为机制解释。</w:t>
      </w:r>
    </w:p>
    <w:p>
      <w:pPr>
        <w:pStyle w:val="TextBody"/>
        <w:bidi w:val="0"/>
        <w:spacing w:before="120" w:after="120"/>
        <w:ind w:start="120" w:end="120" w:hanging="0"/>
        <w:jc w:val="start"/>
        <w:rPr/>
      </w:pPr>
      <w:r>
        <w:rPr/>
        <w:t>综上，本文通过国家统计局相关年度数据构建时间序列，使用三点差分、分段最小二乘和反事实缺口分析，研究数字经济背景下全国博物馆数量增长与文旅产业复苏之间的关系。主要结论是：博物馆数量长期增长，说明文化供给持续扩张；</w:t>
      </w:r>
      <w:r>
        <w:rPr/>
        <w:t xml:space="preserve">2020 </w:t>
      </w:r>
      <w:r>
        <w:rPr/>
        <w:t>年文旅需求受到明显冲击，</w:t>
      </w:r>
      <w:r>
        <w:rPr/>
        <w:t xml:space="preserve">2023 </w:t>
      </w:r>
      <w:r>
        <w:rPr/>
        <w:t>年恢复速度显著提高；但相对于平稳趋势，游客和消费仍未完全恢复。数字经济通过连接文化供给和游客需求，有助于提升文化资源向文旅消费转化的效率。</w:t>
      </w:r>
    </w:p>
    <w:sectPr>
      <w:type w:val="nextPage"/>
      <w:pgSz w:w="11906" w:h="16838"/>
      <w:pgMar w:left="1134" w:right="567" w:header="0" w:top="567" w:footer="0" w:bottom="567" w:gutt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CJK SC">
    <w:altName w:val="Microsoft YaHei"/>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onsolas">
    <w:altName w:val="monospace"/>
    <w:charset w:val="01" w:characterSet="utf-8"/>
    <w:family w:val="auto"/>
    <w:pitch w:val="default"/>
  </w:font>
</w:fonts>
</file>

<file path=word/settings.xml><?xml version="1.0" encoding="utf-8"?>
<w:settings xmlns:w="http://schemas.openxmlformats.org/wordprocessingml/2006/main">
  <w:view w:val="web"/>
  <w:zoom w:percent="100"/>
  <w:defaultTabStop w:val="1134"/>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96"/>
    </w:pPr>
    <w:rPr>
      <w:rFonts w:ascii="Noto Sans CJK SC;Microsoft YaHei;SimSun;sans-serif" w:hAnsi="Noto Sans CJK SC;Microsoft YaHei;SimSun;sans-serif" w:eastAsia="Noto Sans CJK SC;Microsoft YaHei;SimSun;sans-serif" w:cs="Noto Sans CJK SC;Microsoft YaHei;SimSun;sans-serif"/>
      <w:color w:val="111827"/>
      <w:sz w:val="22"/>
      <w:szCs w:val="22"/>
      <w:lang w:val="en-US" w:eastAsia="zh-CN" w:bidi="hi-IN"/>
    </w:rPr>
  </w:style>
  <w:style w:type="paragraph" w:styleId="Heading1">
    <w:name w:val="Heading 1"/>
    <w:basedOn w:val="Heading"/>
    <w:next w:val="TextBody"/>
    <w:qFormat/>
    <w:pPr>
      <w:spacing w:before="240" w:after="270"/>
      <w:jc w:val="center"/>
    </w:pPr>
    <w:rPr>
      <w:rFonts w:ascii="Liberation Sans Unicode MS" w:hAnsi="Liberation Sans Unicode MS"/>
      <w:b/>
      <w:bCs/>
      <w:sz w:val="36"/>
      <w:szCs w:val="36"/>
    </w:rPr>
  </w:style>
  <w:style w:type="paragraph" w:styleId="Heading2">
    <w:name w:val="Heading 2"/>
    <w:basedOn w:val="Heading"/>
    <w:next w:val="TextBody"/>
    <w:qFormat/>
    <w:pPr>
      <w:pBdr>
        <w:bottom w:val="single" w:sz="2" w:space="3" w:color="D1D5DB"/>
      </w:pBdr>
      <w:spacing w:before="330" w:after="120"/>
      <w:outlineLvl w:val="1"/>
    </w:pPr>
    <w:rPr>
      <w:rFonts w:ascii="Liberation Serif" w:hAnsi="Liberation Serif" w:eastAsia="Noto Serif CJK SC" w:cs="Lohit Devanagari"/>
      <w:b/>
      <w:bCs/>
      <w:sz w:val="28"/>
      <w:szCs w:val="28"/>
    </w:rPr>
  </w:style>
  <w:style w:type="paragraph" w:styleId="Heading3">
    <w:name w:val="Heading 3"/>
    <w:basedOn w:val="Heading"/>
    <w:next w:val="TextBody"/>
    <w:qFormat/>
    <w:pPr>
      <w:spacing w:before="240" w:after="120"/>
      <w:outlineLvl w:val="2"/>
    </w:pPr>
    <w:rPr>
      <w:rFonts w:ascii="Liberation Serif" w:hAnsi="Liberation Serif" w:eastAsia="Noto Serif CJK SC" w:cs="Lohit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center"/>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120" w:after="120"/>
      <w:ind w:start="120" w:end="120" w:hanging="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6" w:color="D1D5DB"/>
        <w:left w:val="single" w:sz="2" w:space="6" w:color="D1D5DB"/>
        <w:bottom w:val="single" w:sz="2" w:space="6" w:color="D1D5DB"/>
        <w:right w:val="single" w:sz="2" w:space="6" w:color="D1D5DB"/>
      </w:pBdr>
      <w:shd w:fill="F3F4F6" w:val="clear"/>
      <w:spacing w:before="0" w:after="0"/>
    </w:pPr>
    <w:rPr>
      <w:rFonts w:ascii="Consolas;monospace" w:hAnsi="Consolas;monospace" w:eastAsia="Consolas;monospace" w:cs="Consolas;monospace"/>
      <w:sz w:val="19"/>
      <w:szCs w:val="19"/>
    </w:rPr>
  </w:style>
  <w:style w:type="paragraph" w:styleId="TextBodymeta">
    <w:name w:val="Text Body.meta"/>
    <w:basedOn w:val="TextBody"/>
    <w:qFormat/>
    <w:pPr>
      <w:jc w:val="center"/>
    </w:pPr>
    <w:rPr>
      <w:color w:val="374151"/>
    </w:rPr>
  </w:style>
  <w:style w:type="paragraph" w:styleId="TableHeading">
    <w:name w:val="Table Heading"/>
    <w:basedOn w:val="TableContents"/>
    <w:qFormat/>
    <w:pPr>
      <w:suppressLineNumbers/>
      <w:shd w:fill="EEF2F7"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