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20.shtml" ContentType="text/html; charset=ISO-8859-1"/>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w:t>
      </w:r>
      <w:r>
        <w:t xml:space="preserve"> </w:t>
      </w:r>
      <w:r>
        <w:t xml:space="preserve">TV</w:t>
      </w:r>
      <w:r>
        <w:t xml:space="preserve"> </w:t>
      </w:r>
      <w:r>
        <w:t xml:space="preserve">Series:</w:t>
      </w:r>
      <w:r>
        <w:t xml:space="preserve"> </w:t>
      </w:r>
      <w:r>
        <w:rPr>
          <w:iCs/>
          <w:i/>
        </w:rPr>
        <w:t xml:space="preserve">Merlin</w:t>
      </w:r>
    </w:p>
    <w:p>
      <w:pPr>
        <w:pStyle w:val="Author"/>
      </w:pPr>
      <w:r>
        <w:t xml:space="preserve">Jack</w:t>
      </w:r>
      <w:r>
        <w:t xml:space="preserve"> </w:t>
      </w:r>
      <w:r>
        <w:t xml:space="preserve">ST</w:t>
      </w:r>
    </w:p>
    <w:p>
      <w:pPr>
        <w:pStyle w:val="Heading2"/>
      </w:pPr>
      <w:r>
        <w:t xml:space="preserve">Introduction</w:t>
      </w:r>
    </w:p>
    <w:p>
      <w:pPr>
        <w:pStyle w:val="FirstParagraph"/>
      </w:pPr>
      <w:r>
        <w:rPr>
          <w:iCs/>
          <w:i/>
        </w:rPr>
        <w:t xml:space="preserve">Merlin</w:t>
      </w:r>
      <w:r>
        <w:t xml:space="preserve"> </w:t>
      </w:r>
      <w:r>
        <w:t xml:space="preserve">is a British fantasy-adventure drama that aired on BBC One from 20 September 2008 to 24 December 2012. The series reimagines Arthurian legends, following the young warlock Merlin as he protects Prince Arthur in a kingdom where magic is outlawed. Other notable characters include Morgana, Guinevere, and Uther Pendragon.</w:t>
      </w:r>
    </w:p>
    <w:p>
      <w:pPr>
        <w:pStyle w:val="Heading2"/>
      </w:pPr>
      <w:r>
        <w:t xml:space="preserve">Image</w:t>
      </w:r>
    </w:p>
    <w:p>
      <w:pPr>
        <w:pStyle w:val="CaptionedFigure"/>
      </w:pPr>
      <w:r>
        <w:drawing>
          <wp:inline>
            <wp:extent cx="3810000" cy="2540000"/>
            <wp:effectExtent b="0" l="0" r="0" t="0"/>
            <wp:docPr descr="Merlin Cast" title="" id="21" name="Picture"/>
            <a:graphic>
              <a:graphicData uri="http://schemas.openxmlformats.org/drawingml/2006/picture">
                <pic:pic>
                  <pic:nvPicPr>
                    <pic:cNvPr descr="https://www.google.com/url?sa=i&amp;url=https%3A%2F%2Fwww.imdb.com%2Ftitle%2Ftt1199099%2F&amp;psig=AOvVaw3cvVAIJD0xbHk5cs1xWpW2&amp;ust=1744121980796000&amp;source=images&amp;cd=vfe&amp;opi=89978449&amp;ved=0CBQQjRxqFwoTCOCD9euOxowDFQAAAAAdAAAAABAE"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Merlin Cast</w:t>
      </w:r>
    </w:p>
    <w:p>
      <w:pPr>
        <w:pStyle w:val="BodyText"/>
      </w:pPr>
      <w:r>
        <w:rPr>
          <w:iCs/>
          <w:i/>
        </w:rPr>
        <w:t xml:space="preserve">Main cast of</w:t>
      </w:r>
      <w:r>
        <w:rPr>
          <w:iCs/>
          <w:i/>
        </w:rPr>
        <w:t xml:space="preserve"> </w:t>
      </w:r>
      <w:r>
        <w:rPr>
          <w:bCs/>
          <w:b/>
          <w:iCs/>
          <w:i/>
        </w:rPr>
        <w:t xml:space="preserve">Merlin</w:t>
      </w:r>
      <w:r>
        <w:t xml:space="preserve">.</w:t>
      </w:r>
    </w:p>
    <w:p>
      <w:pPr>
        <w:pStyle w:val="Heading2"/>
      </w:pPr>
      <w:r>
        <w:t xml:space="preserve">Viewership Statistics</w:t>
      </w:r>
    </w:p>
    <w:p>
      <w:pPr>
        <w:pStyle w:val="FirstParagraph"/>
      </w:pPr>
      <w:r>
        <w:t xml:space="preserve">Here is a summary of average UK viewership per season:</w:t>
      </w:r>
    </w:p>
    <w:tbl>
      <w:tblPr>
        <w:tblStyle w:val="Table"/>
        <w:tblW w:type="pct" w:w="5000"/>
        <w:tblLook w:firstRow="1" w:lastRow="0" w:firstColumn="0" w:lastColumn="0" w:noHBand="0" w:noVBand="0" w:val="0020"/>
        <w:jc w:val="start"/>
        <w:tblLayout w:type="fixed"/>
      </w:tblPr>
      <w:tblGrid>
        <w:gridCol w:w="844"/>
        <w:gridCol w:w="1056"/>
        <w:gridCol w:w="1372"/>
        <w:gridCol w:w="1372"/>
        <w:gridCol w:w="3273"/>
      </w:tblGrid>
      <w:tr>
        <w:trPr>
          <w:tblHeader w:val="true"/>
        </w:trPr>
        <w:tc>
          <w:tcPr/>
          <w:p>
            <w:pPr>
              <w:pStyle w:val="Compact"/>
              <w:jc w:val="left"/>
            </w:pPr>
            <w:r>
              <w:t xml:space="preserve">Season</w:t>
            </w:r>
          </w:p>
        </w:tc>
        <w:tc>
          <w:tcPr/>
          <w:p>
            <w:pPr>
              <w:pStyle w:val="Compact"/>
              <w:jc w:val="left"/>
            </w:pPr>
            <w:r>
              <w:t xml:space="preserve">Episodes</w:t>
            </w:r>
          </w:p>
        </w:tc>
        <w:tc>
          <w:tcPr/>
          <w:p>
            <w:pPr>
              <w:pStyle w:val="Compact"/>
              <w:jc w:val="left"/>
            </w:pPr>
            <w:r>
              <w:t xml:space="preserve">First Aired</w:t>
            </w:r>
          </w:p>
        </w:tc>
        <w:tc>
          <w:tcPr/>
          <w:p>
            <w:pPr>
              <w:pStyle w:val="Compact"/>
              <w:jc w:val="left"/>
            </w:pPr>
            <w:r>
              <w:t xml:space="preserve">Last Aired</w:t>
            </w:r>
          </w:p>
        </w:tc>
        <w:tc>
          <w:tcPr/>
          <w:p>
            <w:pPr>
              <w:pStyle w:val="Compact"/>
              <w:jc w:val="left"/>
            </w:pPr>
            <w:r>
              <w:t xml:space="preserve">Average UK Viewers (millions)</w:t>
            </w:r>
          </w:p>
        </w:tc>
      </w:tr>
      <w:tr>
        <w:tc>
          <w:tcPr/>
          <w:p>
            <w:pPr>
              <w:pStyle w:val="Compact"/>
              <w:jc w:val="left"/>
            </w:pPr>
            <w:r>
              <w:t xml:space="preserve">1</w:t>
            </w:r>
          </w:p>
        </w:tc>
        <w:tc>
          <w:tcPr/>
          <w:p>
            <w:pPr>
              <w:pStyle w:val="Compact"/>
              <w:jc w:val="left"/>
            </w:pPr>
            <w:r>
              <w:t xml:space="preserve">13</w:t>
            </w:r>
          </w:p>
        </w:tc>
        <w:tc>
          <w:tcPr/>
          <w:p>
            <w:pPr>
              <w:pStyle w:val="Compact"/>
              <w:jc w:val="left"/>
            </w:pPr>
            <w:r>
              <w:t xml:space="preserve">20 Sep 2008</w:t>
            </w:r>
          </w:p>
        </w:tc>
        <w:tc>
          <w:tcPr/>
          <w:p>
            <w:pPr>
              <w:pStyle w:val="Compact"/>
              <w:jc w:val="left"/>
            </w:pPr>
            <w:r>
              <w:t xml:space="preserve">13 Dec 2008</w:t>
            </w:r>
          </w:p>
        </w:tc>
        <w:tc>
          <w:tcPr/>
          <w:p>
            <w:pPr>
              <w:pStyle w:val="Compact"/>
              <w:jc w:val="left"/>
            </w:pPr>
            <w:r>
              <w:t xml:space="preserve">6.32</w:t>
            </w:r>
          </w:p>
        </w:tc>
      </w:tr>
      <w:tr>
        <w:tc>
          <w:tcPr/>
          <w:p>
            <w:pPr>
              <w:pStyle w:val="Compact"/>
              <w:jc w:val="left"/>
            </w:pPr>
            <w:r>
              <w:t xml:space="preserve">2</w:t>
            </w:r>
          </w:p>
        </w:tc>
        <w:tc>
          <w:tcPr/>
          <w:p>
            <w:pPr>
              <w:pStyle w:val="Compact"/>
              <w:jc w:val="left"/>
            </w:pPr>
            <w:r>
              <w:t xml:space="preserve">13</w:t>
            </w:r>
          </w:p>
        </w:tc>
        <w:tc>
          <w:tcPr/>
          <w:p>
            <w:pPr>
              <w:pStyle w:val="Compact"/>
              <w:jc w:val="left"/>
            </w:pPr>
            <w:r>
              <w:t xml:space="preserve">19 Sep 2009</w:t>
            </w:r>
          </w:p>
        </w:tc>
        <w:tc>
          <w:tcPr/>
          <w:p>
            <w:pPr>
              <w:pStyle w:val="Compact"/>
              <w:jc w:val="left"/>
            </w:pPr>
            <w:r>
              <w:t xml:space="preserve">19 Dec 2009</w:t>
            </w:r>
          </w:p>
        </w:tc>
        <w:tc>
          <w:tcPr/>
          <w:p>
            <w:pPr>
              <w:pStyle w:val="Compact"/>
              <w:jc w:val="left"/>
            </w:pPr>
            <w:r>
              <w:t xml:space="preserve">5.99</w:t>
            </w:r>
          </w:p>
        </w:tc>
      </w:tr>
      <w:tr>
        <w:tc>
          <w:tcPr/>
          <w:p>
            <w:pPr>
              <w:pStyle w:val="Compact"/>
              <w:jc w:val="left"/>
            </w:pPr>
            <w:r>
              <w:t xml:space="preserve">3</w:t>
            </w:r>
          </w:p>
        </w:tc>
        <w:tc>
          <w:tcPr/>
          <w:p>
            <w:pPr>
              <w:pStyle w:val="Compact"/>
              <w:jc w:val="left"/>
            </w:pPr>
            <w:r>
              <w:t xml:space="preserve">13</w:t>
            </w:r>
          </w:p>
        </w:tc>
        <w:tc>
          <w:tcPr/>
          <w:p>
            <w:pPr>
              <w:pStyle w:val="Compact"/>
              <w:jc w:val="left"/>
            </w:pPr>
            <w:r>
              <w:t xml:space="preserve">11 Sep 2010</w:t>
            </w:r>
          </w:p>
        </w:tc>
        <w:tc>
          <w:tcPr/>
          <w:p>
            <w:pPr>
              <w:pStyle w:val="Compact"/>
              <w:jc w:val="left"/>
            </w:pPr>
            <w:r>
              <w:t xml:space="preserve">4 Dec 2010</w:t>
            </w:r>
          </w:p>
        </w:tc>
        <w:tc>
          <w:tcPr/>
          <w:p>
            <w:pPr>
              <w:pStyle w:val="Compact"/>
              <w:jc w:val="left"/>
            </w:pPr>
            <w:r>
              <w:t xml:space="preserve">6.78</w:t>
            </w:r>
          </w:p>
        </w:tc>
      </w:tr>
      <w:tr>
        <w:tc>
          <w:tcPr/>
          <w:p>
            <w:pPr>
              <w:pStyle w:val="Compact"/>
              <w:jc w:val="left"/>
            </w:pPr>
            <w:r>
              <w:t xml:space="preserve">4</w:t>
            </w:r>
          </w:p>
        </w:tc>
        <w:tc>
          <w:tcPr/>
          <w:p>
            <w:pPr>
              <w:pStyle w:val="Compact"/>
              <w:jc w:val="left"/>
            </w:pPr>
            <w:r>
              <w:t xml:space="preserve">13</w:t>
            </w:r>
          </w:p>
        </w:tc>
        <w:tc>
          <w:tcPr/>
          <w:p>
            <w:pPr>
              <w:pStyle w:val="Compact"/>
              <w:jc w:val="left"/>
            </w:pPr>
            <w:r>
              <w:t xml:space="preserve">1 Oct 2011</w:t>
            </w:r>
          </w:p>
        </w:tc>
        <w:tc>
          <w:tcPr/>
          <w:p>
            <w:pPr>
              <w:pStyle w:val="Compact"/>
              <w:jc w:val="left"/>
            </w:pPr>
            <w:r>
              <w:t xml:space="preserve">24 Dec 2011</w:t>
            </w:r>
          </w:p>
        </w:tc>
        <w:tc>
          <w:tcPr/>
          <w:p>
            <w:pPr>
              <w:pStyle w:val="Compact"/>
              <w:jc w:val="left"/>
            </w:pPr>
            <w:r>
              <w:t xml:space="preserve">7.17</w:t>
            </w:r>
          </w:p>
        </w:tc>
      </w:tr>
      <w:tr>
        <w:tc>
          <w:tcPr/>
          <w:p>
            <w:pPr>
              <w:pStyle w:val="Compact"/>
              <w:jc w:val="left"/>
            </w:pPr>
            <w:r>
              <w:t xml:space="preserve">5</w:t>
            </w:r>
          </w:p>
        </w:tc>
        <w:tc>
          <w:tcPr/>
          <w:p>
            <w:pPr>
              <w:pStyle w:val="Compact"/>
              <w:jc w:val="left"/>
            </w:pPr>
            <w:r>
              <w:t xml:space="preserve">13</w:t>
            </w:r>
          </w:p>
        </w:tc>
        <w:tc>
          <w:tcPr/>
          <w:p>
            <w:pPr>
              <w:pStyle w:val="Compact"/>
              <w:jc w:val="left"/>
            </w:pPr>
            <w:r>
              <w:t xml:space="preserve">6 Oct 2012</w:t>
            </w:r>
          </w:p>
        </w:tc>
        <w:tc>
          <w:tcPr/>
          <w:p>
            <w:pPr>
              <w:pStyle w:val="Compact"/>
              <w:jc w:val="left"/>
            </w:pPr>
            <w:r>
              <w:t xml:space="preserve">24 Dec 2012</w:t>
            </w:r>
          </w:p>
        </w:tc>
        <w:tc>
          <w:tcPr/>
          <w:p>
            <w:pPr>
              <w:pStyle w:val="Compact"/>
              <w:jc w:val="left"/>
            </w:pPr>
            <w:r>
              <w:t xml:space="preserve">7.13</w:t>
            </w:r>
          </w:p>
        </w:tc>
      </w:tr>
    </w:tbl>
    <w:p>
      <w:pPr>
        <w:pStyle w:val="BodyText"/>
      </w:pPr>
      <w:r>
        <w:rPr>
          <w:iCs/>
          <w:i/>
        </w:rPr>
        <w:t xml:space="preserve">Data Source:</w:t>
      </w:r>
      <w:r>
        <w:rPr>
          <w:iCs/>
          <w:i/>
        </w:rPr>
        <w:t xml:space="preserve"> </w:t>
      </w:r>
      <w:hyperlink r:id="rId23">
        <w:r>
          <w:rPr>
            <w:rStyle w:val="Hyperlink"/>
            <w:iCs/>
            <w:i/>
          </w:rPr>
          <w:t xml:space="preserve">Wikipedia</w:t>
        </w:r>
      </w:hyperlink>
    </w:p>
    <w:p>
      <w:pPr>
        <w:pStyle w:val="SourceCode"/>
      </w:pPr>
      <w:r>
        <w:rPr>
          <w:rStyle w:val="FunctionTok"/>
        </w:rPr>
        <w:t xml:space="preserve">library</w:t>
      </w:r>
      <w:r>
        <w:rPr>
          <w:rStyle w:val="NormalTok"/>
        </w:rPr>
        <w:t xml:space="preserve">(ggplot2)</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Viewers =</w:t>
      </w:r>
      <w:r>
        <w:rPr>
          <w:rStyle w:val="NormalTok"/>
        </w:rPr>
        <w:t xml:space="preserve"> </w:t>
      </w:r>
      <w:r>
        <w:rPr>
          <w:rStyle w:val="FunctionTok"/>
        </w:rPr>
        <w:t xml:space="preserve">c</w:t>
      </w:r>
      <w:r>
        <w:rPr>
          <w:rStyle w:val="NormalTok"/>
        </w:rPr>
        <w:t xml:space="preserve">(</w:t>
      </w:r>
      <w:r>
        <w:rPr>
          <w:rStyle w:val="FloatTok"/>
        </w:rPr>
        <w:t xml:space="preserve">6.32</w:t>
      </w:r>
      <w:r>
        <w:rPr>
          <w:rStyle w:val="NormalTok"/>
        </w:rPr>
        <w:t xml:space="preserve">, </w:t>
      </w:r>
      <w:r>
        <w:rPr>
          <w:rStyle w:val="FloatTok"/>
        </w:rPr>
        <w:t xml:space="preserve">5.99</w:t>
      </w:r>
      <w:r>
        <w:rPr>
          <w:rStyle w:val="NormalTok"/>
        </w:rPr>
        <w:t xml:space="preserve">, </w:t>
      </w:r>
      <w:r>
        <w:rPr>
          <w:rStyle w:val="FloatTok"/>
        </w:rPr>
        <w:t xml:space="preserve">6.78</w:t>
      </w:r>
      <w:r>
        <w:rPr>
          <w:rStyle w:val="NormalTok"/>
        </w:rPr>
        <w:t xml:space="preserve">, </w:t>
      </w:r>
      <w:r>
        <w:rPr>
          <w:rStyle w:val="FloatTok"/>
        </w:rPr>
        <w:t xml:space="preserve">7.17</w:t>
      </w:r>
      <w:r>
        <w:rPr>
          <w:rStyle w:val="NormalTok"/>
        </w:rPr>
        <w:t xml:space="preserve">, </w:t>
      </w:r>
      <w:r>
        <w:rPr>
          <w:rStyle w:val="FloatTok"/>
        </w:rPr>
        <w:t xml:space="preserve">7.13</w:t>
      </w:r>
      <w:r>
        <w:rPr>
          <w:rStyle w:val="NormalTok"/>
        </w:rPr>
        <w:t xml:space="preserve">)</w:t>
      </w:r>
      <w:r>
        <w:br/>
      </w:r>
      <w:r>
        <w:rPr>
          <w:rStyle w:val="NormalTok"/>
        </w:rPr>
        <w:t xml:space="preserve">)</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Viewers))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"Season"</w:t>
      </w:r>
      <w:r>
        <w:rPr>
          <w:rStyle w:val="NormalTok"/>
        </w:rPr>
        <w:t xml:space="preserve">, </w:t>
      </w:r>
      <w:r>
        <w:rPr>
          <w:rStyle w:val="AttributeTok"/>
        </w:rPr>
        <w:t xml:space="preserve">y =</w:t>
      </w:r>
      <w:r>
        <w:rPr>
          <w:rStyle w:val="NormalTok"/>
        </w:rPr>
        <w:t xml:space="preserve"> </w:t>
      </w:r>
      <w:r>
        <w:rPr>
          <w:rStyle w:val="StringTok"/>
        </w:rPr>
        <w:t xml:space="preserve">"Average Viewers (millions)"</w:t>
      </w:r>
      <w:r>
        <w:rPr>
          <w:rStyle w:val="NormalTok"/>
        </w:rPr>
        <w:t xml:space="preserve">)</w:t>
      </w:r>
    </w:p>
    <w:p>
      <w:pPr>
        <w:pStyle w:val="CaptionedFigure"/>
      </w:pPr>
      <w:r>
        <w:drawing>
          <wp:inline>
            <wp:extent cx="5334000" cy="4267200"/>
            <wp:effectExtent b="0" l="0" r="0" t="0"/>
            <wp:docPr descr="Average UK Viewership by Season" title="" id="25" name="Picture"/>
            <a:graphic>
              <a:graphicData uri="http://schemas.openxmlformats.org/drawingml/2006/picture">
                <pic:pic>
                  <pic:nvPicPr>
                    <pic:cNvPr descr="Merlin_jst_files/figure-docx/viewership-over-time-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Average UK Viewership by Season</w:t>
      </w:r>
    </w:p>
    <w:p>
      <w:pPr>
        <w:pStyle w:val="SourceCode"/>
      </w:pPr>
      <w:r>
        <w:rPr>
          <w:rStyle w:val="NormalTok"/>
        </w:rPr>
        <w:t xml:space="preserve">change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c</w:t>
      </w:r>
      <w:r>
        <w:rPr>
          <w:rStyle w:val="NormalTok"/>
        </w:rPr>
        <w:t xml:space="preserve">(</w:t>
      </w:r>
      <w:r>
        <w:rPr>
          <w:rStyle w:val="FloatTok"/>
        </w:rPr>
        <w:t xml:space="preserve">6.32</w:t>
      </w:r>
      <w:r>
        <w:rPr>
          <w:rStyle w:val="NormalTok"/>
        </w:rPr>
        <w:t xml:space="preserve">, </w:t>
      </w:r>
      <w:r>
        <w:rPr>
          <w:rStyle w:val="FloatTok"/>
        </w:rPr>
        <w:t xml:space="preserve">5.99</w:t>
      </w:r>
      <w:r>
        <w:rPr>
          <w:rStyle w:val="NormalTok"/>
        </w:rPr>
        <w:t xml:space="preserve">, </w:t>
      </w:r>
      <w:r>
        <w:rPr>
          <w:rStyle w:val="FloatTok"/>
        </w:rPr>
        <w:t xml:space="preserve">6.78</w:t>
      </w:r>
      <w:r>
        <w:rPr>
          <w:rStyle w:val="NormalTok"/>
        </w:rPr>
        <w:t xml:space="preserve">, </w:t>
      </w:r>
      <w:r>
        <w:rPr>
          <w:rStyle w:val="FloatTok"/>
        </w:rPr>
        <w:t xml:space="preserve">7.17</w:t>
      </w:r>
      <w:r>
        <w:rPr>
          <w:rStyle w:val="NormalTok"/>
        </w:rPr>
        <w:t xml:space="preserve">, </w:t>
      </w:r>
      <w:r>
        <w:rPr>
          <w:rStyle w:val="FloatTok"/>
        </w:rPr>
        <w:t xml:space="preserve">7.13</w:t>
      </w:r>
      <w:r>
        <w:rPr>
          <w:rStyle w:val="NormalTok"/>
        </w:rPr>
        <w:t xml:space="preserve">))</w:t>
      </w:r>
      <w:r>
        <w:br/>
      </w:r>
      <w:r>
        <w:rPr>
          <w:rStyle w:val="NormalTok"/>
        </w:rPr>
        <w:t xml:space="preserve">data_change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paste0</w:t>
      </w:r>
      <w:r>
        <w:rPr>
          <w:rStyle w:val="NormalTok"/>
        </w:rPr>
        <w:t xml:space="preserve">(</w:t>
      </w:r>
      <w:r>
        <w:rPr>
          <w:rStyle w:val="StringTok"/>
        </w:rPr>
        <w:t xml:space="preserve">"S"</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Change =</w:t>
      </w:r>
      <w:r>
        <w:rPr>
          <w:rStyle w:val="NormalTok"/>
        </w:rPr>
        <w:t xml:space="preserve"> change</w:t>
      </w:r>
      <w:r>
        <w:br/>
      </w:r>
      <w:r>
        <w:rPr>
          <w:rStyle w:val="NormalTok"/>
        </w:rPr>
        <w:t xml:space="preserve">)</w:t>
      </w:r>
      <w:r>
        <w:br/>
      </w:r>
      <w:r>
        <w:br/>
      </w:r>
      <w:r>
        <w:rPr>
          <w:rStyle w:val="FunctionTok"/>
        </w:rPr>
        <w:t xml:space="preserve">ggplot</w:t>
      </w:r>
      <w:r>
        <w:rPr>
          <w:rStyle w:val="NormalTok"/>
        </w:rPr>
        <w:t xml:space="preserve">(data_change,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Change))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"Season"</w:t>
      </w:r>
      <w:r>
        <w:rPr>
          <w:rStyle w:val="NormalTok"/>
        </w:rPr>
        <w:t xml:space="preserve">, </w:t>
      </w:r>
      <w:r>
        <w:rPr>
          <w:rStyle w:val="AttributeTok"/>
        </w:rPr>
        <w:t xml:space="preserve">y =</w:t>
      </w:r>
      <w:r>
        <w:rPr>
          <w:rStyle w:val="NormalTok"/>
        </w:rPr>
        <w:t xml:space="preserve"> </w:t>
      </w:r>
      <w:r>
        <w:rPr>
          <w:rStyle w:val="StringTok"/>
        </w:rPr>
        <w:t xml:space="preserve">"Change in Viewers (millions)"</w:t>
      </w:r>
      <w:r>
        <w:rPr>
          <w:rStyle w:val="NormalTok"/>
        </w:rPr>
        <w:t xml:space="preserve">)</w:t>
      </w:r>
    </w:p>
    <w:p>
      <w:pPr>
        <w:pStyle w:val="CaptionedFigure"/>
      </w:pPr>
      <w:r>
        <w:drawing>
          <wp:inline>
            <wp:extent cx="5334000" cy="4267200"/>
            <wp:effectExtent b="0" l="0" r="0" t="0"/>
            <wp:docPr descr="Change in Viewership Between Seasons" title="" id="28" name="Picture"/>
            <a:graphic>
              <a:graphicData uri="http://schemas.openxmlformats.org/drawingml/2006/picture">
                <pic:pic>
                  <pic:nvPicPr>
                    <pic:cNvPr descr="Merlin_jst_files/figure-docx/viewership-change-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Change in Viewership Between Seasons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0" Target="media/rId20.shtml" /><Relationship Type="http://schemas.openxmlformats.org/officeDocument/2006/relationships/hyperlink" Id="rId23" Target="https://en.wikipedia.org/wiki/List_of_Merlin_episodes"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List_of_Merlin_episo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TV Series: Merlin</dc:title>
  <dc:creator>Jack ST</dc:creator>
  <cp:keywords/>
  <dcterms:created xsi:type="dcterms:W3CDTF">2025-04-28T14:31:58Z</dcterms:created>
  <dcterms:modified xsi:type="dcterms:W3CDTF">2025-04-28T14:31:58Z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