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65d"/>
          <w:sz w:val="40"/>
          <w:szCs w:val="40"/>
        </w:rPr>
        <w:t xml:space="preserve">Sparse Variational Gaussian Process Outlier Detection</w:t>
      </w:r>
    </w:p>
    <w:p>
      <w:pPr>
        <w:spacing w:after="120"/>
        <w:jc w:val="center"/>
      </w:pPr>
      <w:r>
        <w:rPr>
          <w:rFonts w:ascii="Arial" w:cs="Arial" w:eastAsia="Arial" w:hAnsi="Arial"/>
          <w:b/>
          <w:bCs/>
          <w:color w:val="2c5282"/>
          <w:sz w:val="36"/>
          <w:szCs w:val="36"/>
        </w:rPr>
        <w:t xml:space="preserve">for Nuclear Cross-Section Data Quality Assurance</w:t>
      </w:r>
    </w:p>
    <w:p>
      <w:pPr>
        <w:spacing w:after="400"/>
        <w:jc w:val="center"/>
      </w:pPr>
      <w:r>
        <w:rPr>
          <w:rFonts w:ascii="Arial" w:cs="Arial" w:eastAsia="Arial" w:hAnsi="Arial"/>
          <w:color w:val="666666"/>
          <w:sz w:val="24"/>
          <w:szCs w:val="24"/>
        </w:rPr>
        <w:t xml:space="preserve">NUCML-Next Data Pipeline Documentation</w:t>
      </w:r>
    </w:p>
    <w:p>
      <w:pPr>
        <w:pStyle w:val="Heading1"/>
      </w:pPr>
      <w:r>
        <w:t xml:space="preserve">Abstract</w:t>
      </w:r>
    </w:p>
    <w:p>
      <w:pPr>
        <w:spacing w:after="200"/>
      </w:pPr>
      <w:r>
        <w:t xml:space="preserve">This document describes the implementation of a Sparse Variational Gaussian Process (SVGP) methodology for automated outlier detection in experimental nuclear cross-section data from the EXFOR database. The approach addresses the critical challenge of identifying erroneous measurements, transcription errors, and systematically discrepant datasets within the 13.4 million data points comprising the processed EXFOR archive. Unlike conventional outlier detection methods that treat data as unstructured point clouds, the SVGP approach explicitly models cross-sections as functions of incident particle energy, enabling physically meaningful anomaly detection that respects the underlying functional structure of nuclear reaction data.</w:t>
      </w:r>
    </w:p>
    <w:p>
      <w:pPr>
        <w:pStyle w:val="Heading1"/>
      </w:pPr>
      <w:r>
        <w:t xml:space="preserve">1. Introduction</w:t>
      </w:r>
    </w:p>
    <w:p>
      <w:pPr>
        <w:pStyle w:val="Heading2"/>
      </w:pPr>
      <w:r>
        <w:t xml:space="preserve">1.1 Background</w:t>
      </w:r>
    </w:p>
    <w:p>
      <w:pPr>
        <w:spacing w:after="200"/>
      </w:pPr>
      <w:r>
        <w:t xml:space="preserve">The Experimental Nuclear Reaction Data (EXFOR) database represents the most comprehensive compilation of measured nuclear reaction data, maintained by the International Atomic Energy Agency (IAEA) Nuclear Data Section. The database contains cross-section measurements spanning seven decades of experimental nuclear physics, encompassing diverse measurement techniques, detector technologies, and data reduction methodologies. This heterogeneity, while providing invaluable breadth of coverage, introduces significant data quality challenges including transcription errors, digitisation artifacts, unit conversion mistakes, and systematically discrepant experimental campaigns.</w:t>
      </w:r>
    </w:p>
    <w:p>
      <w:pPr>
        <w:spacing w:after="200"/>
      </w:pPr>
      <w:r>
        <w:t xml:space="preserve">Machine learning approaches to nuclear data evaluation require high-quality training datasets. The presence of outliers and erroneous measurements can significantly degrade model performance, introduce spurious correlations, and compromise the reliability of predictions. Traditional manual curation of such large datasets is impractical, necessitating automated quality assurance methodologies that can identify problematic data points while preserving legitimate physical phenomena such as resonance structures.</w:t>
      </w:r>
    </w:p>
    <w:p>
      <w:pPr>
        <w:pStyle w:val="Heading2"/>
      </w:pPr>
      <w:r>
        <w:t xml:space="preserve">1.2 Limitations of Conventional Approaches</w:t>
      </w:r>
    </w:p>
    <w:p>
      <w:pPr>
        <w:spacing w:after="200"/>
      </w:pPr>
      <w:r>
        <w:t xml:space="preserve">Previous work in nuclear data quality assurance has employed statistical outlier detection methods including Local Outlier Factor (LOF) and One-Class Support Vector Machines (OC-SVM). These approaches treat the data as unstructured point clouds in (E, σ) space, computing anomaly scores based on local density or distance to learned decision boundaries. While computationally tractable, such methods exhibit a fundamental limitation: they fail to account for the functional relationship between energy and cross-section.</w:t>
      </w:r>
    </w:p>
    <w:p>
      <w:pPr>
        <w:spacing w:after="200"/>
      </w:pPr>
      <w:r>
        <w:t xml:space="preserve">Consider a resonance peak in the neutron-induced fission cross-section of ²³⁵U. The cross-section may increase by several orders of magnitude over a narrow energy range, creating data points that appear isolated in the joint (E, σ) distribution. Density-based methods such as LOF would flag these physically real phenomena as outliers due to their low local density, while genuine transcription errors situated near the baseline might escape detection due to the high data density in that region.</w:t>
      </w:r>
    </w:p>
    <w:p>
      <w:pPr>
        <w:pStyle w:val="Heading2"/>
      </w:pPr>
      <w:r>
        <w:t xml:space="preserve">1.3 The Functional Perspective</w:t>
      </w:r>
    </w:p>
    <w:p>
      <w:pPr>
        <w:spacing w:after="200"/>
      </w:pPr>
      <w:r>
        <w:t xml:space="preserve">Nuclear cross-sections are fundamentally functions of incident particle energy: σ = σ(E). The appropriate question for outlier detection is not whether a given (E, σ) pair is unusual within the dataset, but rather whether the observed cross-section is anomalous for this specific reaction at this specific energy. This conditional formulation—P(σ|E, Z, A, MT)—motivates the use of Gaussian Process regression, which explicitly models the functional relationship and provides calibrated uncertainty estimates.</w:t>
      </w:r>
    </w:p>
    <w:p>
      <w:pPr>
        <w:pStyle w:val="Heading1"/>
      </w:pPr>
      <w:r>
        <w:t xml:space="preserve">2. Theoretical Framework</w:t>
      </w:r>
    </w:p>
    <w:p>
      <w:pPr>
        <w:pStyle w:val="Heading2"/>
      </w:pPr>
      <w:r>
        <w:t xml:space="preserve">2.1 Gaussian Process Regression</w:t>
      </w:r>
    </w:p>
    <w:p>
      <w:pPr>
        <w:spacing w:after="200"/>
      </w:pPr>
      <w:r>
        <w:t xml:space="preserve">A Gaussian Process (GP) defines a probability distribution over functions, specified by a mean function m(x) and covariance function k(x, x′). For nuclear cross-section modelling, we work in log-space to handle the large dynamic range of cross-section values, defining the regression problem as:</w:t>
      </w:r>
    </w:p>
    <w:p>
      <w:pPr>
        <w:spacing w:before="120" w:after="120"/>
        <w:jc w:val="center"/>
      </w:pPr>
      <w:r>
        <w:rPr>
          <w:i/>
          <w:iCs/>
        </w:rPr>
        <w:t xml:space="preserve">log₁₀(σ) = f(log₁₀(E)) + ε,    where f ~ GP(m, k) and ε ~ N(0, σ²ₙ)</w:t>
      </w:r>
    </w:p>
    <w:p>
      <w:pPr>
        <w:spacing w:after="200"/>
      </w:pPr>
      <w:r>
        <w:t xml:space="preserve">The covariance function encodes assumptions about the smoothness and structure of the underlying function. We employ the Radial Basis Function (RBF) kernel, also known as the squared exponential kernel:</w:t>
      </w:r>
    </w:p>
    <w:p>
      <w:pPr>
        <w:spacing w:before="120" w:after="120"/>
        <w:jc w:val="center"/>
      </w:pPr>
      <w:r>
        <w:rPr>
          <w:i/>
          <w:iCs/>
        </w:rPr>
        <w:t xml:space="preserve">k(x, x′) = σ²f exp(−(x − x′)² / 2ℓ²)</w:t>
      </w:r>
    </w:p>
    <w:p>
      <w:pPr>
        <w:spacing w:after="200"/>
      </w:pPr>
      <w:r>
        <w:t xml:space="preserve">where σ²f is the signal variance controlling the amplitude of variations and ℓ is the lengthscale parameter governing the correlation distance in log-energy space. The RBF kernel assumes smooth, infinitely differentiable functions, which is appropriate for cross-section data away from sharp resonances.</w:t>
      </w:r>
    </w:p>
    <w:p>
      <w:pPr>
        <w:pStyle w:val="Heading2"/>
      </w:pPr>
      <w:r>
        <w:t xml:space="preserve">2.2 Sparse Variational Approximation</w:t>
      </w:r>
    </w:p>
    <w:p>
      <w:pPr>
        <w:spacing w:after="200"/>
      </w:pPr>
      <w:r>
        <w:t xml:space="preserve">Exact GP inference requires O(n³) computation and O(n²) memory for the Cholesky decomposition of the n × n covariance matrix, rendering it intractable for large datasets. Sparse Variational Gaussian Processes (SVGP) address this limitation by introducing a set of m inducing points {Zⱼ, uⱼ}ᵐⱼ₌₁ that summarise the posterior distribution.</w:t>
      </w:r>
    </w:p>
    <w:p>
      <w:pPr>
        <w:spacing w:after="200"/>
      </w:pPr>
      <w:r>
        <w:t xml:space="preserve">The variational approximation assumes the posterior factorises through the inducing points: p(f|y) ≈ ∫ p(f|u)q(u)du, where q(u) is a variational distribution (typically multivariate Gaussian) optimised to minimise the Kullback-Leibler divergence to the true posterior. This reduces computational complexity to O(nm²), enabling application to datasets with millions of observations.</w:t>
      </w:r>
    </w:p>
    <w:p>
      <w:pPr>
        <w:pStyle w:val="Heading2"/>
      </w:pPr>
      <w:r>
        <w:t xml:space="preserve">2.3 Outlier Score Formulation</w:t>
      </w:r>
    </w:p>
    <w:p>
      <w:pPr>
        <w:spacing w:after="200"/>
      </w:pPr>
      <w:r>
        <w:t xml:space="preserve">Given the trained SVGP model, the predictive distribution at each observed energy point Eᵢ is Gaussian with mean μ(Eᵢ) and variance σ²(Eᵢ). The outlier score is defined as the standardised residual (z-score):</w:t>
      </w:r>
    </w:p>
    <w:p>
      <w:pPr>
        <w:spacing w:before="120" w:after="120"/>
        <w:jc w:val="center"/>
      </w:pPr>
      <w:r>
        <w:rPr>
          <w:i/>
          <w:iCs/>
        </w:rPr>
        <w:t xml:space="preserve">zᵢ = (log₁₀(σᵢ) − μ(Eᵢ)) / σ(Eᵢ)</w:t>
      </w:r>
    </w:p>
    <w:p>
      <w:pPr>
        <w:spacing w:after="200"/>
      </w:pPr>
      <w:r>
        <w:t xml:space="preserve">Under the GP model assumptions, z-scores follow a standard normal distribution N(0, 1). Points with |z| exceeding a user-specified threshold (typically 3.0, corresponding to 99.7% of the distribution) are flagged as potential outliers. Critically, the uncertainty σ(Eᵢ) is heteroscedastic—it varies with energy, expanding in regions of sparse data or complex structure and contracting where measurements are dense and consistent.</w:t>
      </w:r>
    </w:p>
    <w:p>
      <w:pPr>
        <w:pStyle w:val="Heading1"/>
      </w:pPr>
      <w:r>
        <w:t xml:space="preserve">3. Implementation</w:t>
      </w:r>
    </w:p>
    <w:p>
      <w:pPr>
        <w:pStyle w:val="Heading2"/>
      </w:pPr>
      <w:r>
        <w:t xml:space="preserve">3.1 Data Partitioning</w:t>
      </w:r>
    </w:p>
    <w:p>
      <w:pPr>
        <w:spacing w:after="200"/>
      </w:pPr>
      <w:r>
        <w:t xml:space="preserve">The EXFOR dataset is partitioned into reaction groups identified by the tuple (Z, A, MT), where Z is the target atomic number, A is the target mass number, and MT is the ENDF reaction type code. Each group represents a distinct nuclear reaction channel (e.g., ²³⁵U(n,f) corresponds to Z=92, A=235, MT=18). An independent SVGP model is fitted to each group, respecting the physical constraint that cross-section behaviour varies fundamentally between different reactions.</w:t>
      </w:r>
    </w:p>
    <w:p>
      <w:pPr>
        <w:pStyle w:val="Heading2"/>
      </w:pPr>
      <w:r>
        <w:t xml:space="preserve">3.2 Model Architecture</w:t>
      </w:r>
    </w:p>
    <w:p>
      <w:pPr>
        <w:spacing w:after="200"/>
      </w:pPr>
      <w:r>
        <w:t xml:space="preserve">The implementation utilises GPyTorch, a Gaussian Process library built on PyTorch that provides GPU acceleration and modern variational inference algorithms. The model architecture comprises: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Component</w:t>
            </w:r>
          </w:p>
        </w:tc>
        <w:tc>
          <w:tcPr>
            <w:tcW w:type="dxa" w:w="63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Constant mean, learned from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Covariance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ScaleKernel(RBFKernel) with learned lengthscale and variance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Inducing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points, initialised via k-means on log₁₀(E)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Variational Distribution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Cholesky-parameterised multivariate Gaussian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Likelihood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Gaussian with learned homoscedastic noise</w:t>
            </w:r>
          </w:p>
        </w:tc>
      </w:tr>
    </w:tbl>
    <w:p>
      <w:pPr>
        <w:spacing w:before="200" w:after="200"/>
      </w:pPr>
    </w:p>
    <w:p>
      <w:pPr>
        <w:pStyle w:val="Heading2"/>
      </w:pPr>
      <w:r>
        <w:t xml:space="preserve">3.3 Training Procedure</w:t>
      </w:r>
    </w:p>
    <w:p>
      <w:pPr>
        <w:spacing w:after="200"/>
      </w:pPr>
      <w:r>
        <w:t xml:space="preserve">Model parameters (kernel hyperparameters, inducing point locations, variational parameters) are optimised by maximising the Evidence Lower Bound (ELBO) using the Adam optimiser with learning rate 0.1. Training employs early stopping with patience of 20 epochs, monitoring the ELBO for convergence. The maximum number of epochs is set to 300, though most groups converge within 50–100 epochs.</w:t>
      </w:r>
    </w:p>
    <w:p>
      <w:pPr>
        <w:pStyle w:val="Heading2"/>
      </w:pPr>
      <w:r>
        <w:t xml:space="preserve">3.4 Edge Case Handling</w:t>
      </w:r>
    </w:p>
    <w:p>
      <w:pPr>
        <w:spacing w:after="120"/>
      </w:pPr>
      <w:r>
        <w:t xml:space="preserve">The implementation addresses several edge cases that arise in real EXFOR data:</w:t>
      </w:r>
    </w:p>
    <w:p>
      <w:pPr>
        <w:pStyle w:val="ListParagraph"/>
        <w:numPr>
          <w:ilvl w:val="0"/>
          <w:numId w:val="2"/>
        </w:numPr>
        <w:spacing w:after="80"/>
      </w:pPr>
      <w:r>
        <w:rPr>
          <w:b/>
          <w:bCs/>
        </w:rPr>
        <w:t xml:space="preserve">Small groups (n &lt; 10): </w:t>
      </w:r>
      <w:r>
        <w:t xml:space="preserve">Insufficient data for reliable GP fitting. Fall back to Median Absolute Deviation (MAD) scoring: z = (log₁₀(σ) − median) / (1.4826 × MAD).</w:t>
      </w:r>
    </w:p>
    <w:p>
      <w:pPr>
        <w:pStyle w:val="ListParagraph"/>
        <w:numPr>
          <w:ilvl w:val="0"/>
          <w:numId w:val="2"/>
        </w:numPr>
        <w:spacing w:after="80"/>
      </w:pPr>
      <w:r>
        <w:rPr>
          <w:b/>
          <w:bCs/>
        </w:rPr>
        <w:t xml:space="preserve">Single-point groups: </w:t>
      </w:r>
      <w:r>
        <w:t xml:space="preserve">Cannot determine outlier status without reference. Assign z-score of 0.</w:t>
      </w:r>
    </w:p>
    <w:p>
      <w:pPr>
        <w:pStyle w:val="ListParagraph"/>
        <w:numPr>
          <w:ilvl w:val="0"/>
          <w:numId w:val="2"/>
        </w:numPr>
        <w:spacing w:after="80"/>
      </w:pPr>
      <w:r>
        <w:rPr>
          <w:b/>
          <w:bCs/>
        </w:rPr>
        <w:t xml:space="preserve">Numerical instability: </w:t>
      </w:r>
      <w:r>
        <w:t xml:space="preserve">Cholesky decomposition failures due to near-singular covariance matrices. Detected via NotPSDError and handled by falling back to MAD scoring.</w:t>
      </w:r>
    </w:p>
    <w:p>
      <w:pPr>
        <w:pStyle w:val="ListParagraph"/>
        <w:numPr>
          <w:ilvl w:val="0"/>
          <w:numId w:val="2"/>
        </w:numPr>
        <w:spacing w:after="200"/>
      </w:pPr>
      <w:r>
        <w:rPr>
          <w:b/>
          <w:bCs/>
        </w:rPr>
        <w:t xml:space="preserve">Non-convergence: </w:t>
      </w:r>
      <w:r>
        <w:t xml:space="preserve">Groups where ELBO fails to improve. Detected by early stopping and handled by MAD fallback.</w:t>
      </w:r>
    </w:p>
    <w:p>
      <w:pPr>
        <w:pStyle w:val="Heading2"/>
      </w:pPr>
      <w:r>
        <w:t xml:space="preserve">3.5 Computational Considerations</w:t>
      </w:r>
    </w:p>
    <w:p>
      <w:pPr>
        <w:spacing w:after="200"/>
      </w:pPr>
      <w:r>
        <w:t xml:space="preserve">The pipeline processes 9,357 reaction groups comprising 13.4 million data points. On CPU (Intel Core i7), processing requires approximately 5–6 hours with an average of 2.2 seconds per group. GPU acceleration via CUDA reduces this to under 1 hour. Checkpointing support enables interruption and resumption of long-running jobs without loss of progress.</w:t>
      </w:r>
    </w:p>
    <w:p>
      <w:pPr>
        <w:pStyle w:val="Heading1"/>
      </w:pPr>
      <w:r>
        <w:t xml:space="preserve">4. Results and Validation</w:t>
      </w:r>
    </w:p>
    <w:p>
      <w:pPr>
        <w:pStyle w:val="Heading2"/>
      </w:pPr>
      <w:r>
        <w:t xml:space="preserve">4.1 Processing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Metric</w:t>
            </w:r>
          </w:p>
        </w:tc>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Value</w:t>
            </w:r>
          </w:p>
        </w:tc>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Percentage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data 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13,419,082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Reaction groups (Z, A, 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SVGP successfully fitted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MAD fallback (small groups)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Single-point groups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SVGP numerical failures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Outliers detected (|z| &gt;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271,345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w:t>
            </w:r>
          </w:p>
        </w:tc>
      </w:tr>
    </w:tbl>
    <w:p>
      <w:pPr>
        <w:spacing w:before="200" w:after="200"/>
      </w:pPr>
    </w:p>
    <w:p>
      <w:pPr>
        <w:pStyle w:val="Heading2"/>
      </w:pPr>
      <w:r>
        <w:t xml:space="preserve">4.2 Outlier Rate Analysis</w:t>
      </w:r>
    </w:p>
    <w:p>
      <w:pPr>
        <w:spacing w:after="200"/>
      </w:pPr>
      <w:r>
        <w:t xml:space="preserve">The observed outlier rate of 2.02% at |z| &gt; 3 exceeds the theoretical expectation of 0.27% for a standard normal distribution. This deviation is expected and attributable to several factors: (1) genuine measurement errors and transcription mistakes in EXFOR, (2) heavier-than-Gaussian tails in the true error distribution, and (3) model misspecification where the GP's smoothness assumptions do not perfectly capture resonance structure. The elevated rate indicates the method is successfully identifying problematic data rather than merely flagging statistical noise.</w:t>
      </w:r>
    </w:p>
    <w:p>
      <w:pPr>
        <w:pStyle w:val="Heading2"/>
      </w:pPr>
      <w:r>
        <w:t xml:space="preserve">4.3 User-Configurable Threshold</w:t>
      </w:r>
    </w:p>
    <w:p>
      <w:pPr>
        <w:spacing w:after="200"/>
      </w:pPr>
      <w:r>
        <w:t xml:space="preserve">The z-score is stored as a column in the output Parquet file, enabling users to apply custom thresholds at data loading time without rerunning the computationally expensive SVGP fitting. Recommended thresholds are: z = 2.0 for aggressive cleaning (approximately 95% retention), z = 3.0 for conservative cleaning (approximately 99.7% retention, recommended default), and z = 4.0 for minimal cleaning in resonance-focused studies where GP uncertainty may be underestimated.</w:t>
      </w:r>
    </w:p>
    <w:p>
      <w:pPr>
        <w:pStyle w:val="Heading1"/>
      </w:pPr>
      <w:r>
        <w:t xml:space="preserve">5. Conclusions</w:t>
      </w:r>
    </w:p>
    <w:p>
      <w:pPr>
        <w:spacing w:after="200"/>
      </w:pPr>
      <w:r>
        <w:t xml:space="preserve">The SVGP outlier detection methodology provides a principled, physically motivated approach to data quality assurance for nuclear cross-section measurements. By explicitly modelling cross-sections as functions of energy, the method correctly identifies anomalous measurements while preserving legitimate physical structures such as resonance peaks. The heteroscedastic uncertainty quantification adapts automatically to data density and complexity, providing appropriate flagging thresholds across diverse energy regimes from thermal to fast neutrons.</w:t>
      </w:r>
    </w:p>
    <w:p>
      <w:pPr>
        <w:spacing w:after="200"/>
      </w:pPr>
      <w:r>
        <w:t xml:space="preserve">Integration into the NUCML-Next ingestion pipeline ensures that outlier scores are computed once and stored persistently, enabling efficient downstream filtering without repeated computation. The configurable threshold mechanism provides flexibility for different use cases, from aggressive cleaning for baseline model development to inclusive datasets for systematic uncertainty studies.</w:t>
      </w:r>
    </w:p>
    <w:p>
      <w:pPr>
        <w:pStyle w:val="Heading1"/>
      </w:pPr>
      <w:r>
        <w:t xml:space="preserve">References</w:t>
      </w:r>
    </w:p>
    <w:p>
      <w:pPr>
        <w:pStyle w:val="ListParagraph"/>
        <w:numPr>
          <w:ilvl w:val="0"/>
          <w:numId w:val="3"/>
        </w:numPr>
        <w:spacing w:after="80"/>
      </w:pPr>
      <w:r>
        <w:t xml:space="preserve">Rasmussen, C.E. and Williams, C.K.I. (2006). Gaussian Processes for Machine Learning. MIT Press.</w:t>
      </w:r>
    </w:p>
    <w:p>
      <w:pPr>
        <w:pStyle w:val="ListParagraph"/>
        <w:numPr>
          <w:ilvl w:val="0"/>
          <w:numId w:val="3"/>
        </w:numPr>
        <w:spacing w:after="80"/>
      </w:pPr>
      <w:r>
        <w:t xml:space="preserve">Hensman, J., Fusi, N. and Lawrence, N.D. (2013). Gaussian Processes for Big Data. Proceedings of UAI.</w:t>
      </w:r>
    </w:p>
    <w:p>
      <w:pPr>
        <w:pStyle w:val="ListParagraph"/>
        <w:numPr>
          <w:ilvl w:val="0"/>
          <w:numId w:val="3"/>
        </w:numPr>
        <w:spacing w:after="80"/>
      </w:pPr>
      <w:r>
        <w:t xml:space="preserve">Gardner, J.R. et al. (2018). GPyTorch: Blackbox Matrix-Matrix Gaussian Process Inference with GPU Acceleration. NeurIPS.</w:t>
      </w:r>
    </w:p>
    <w:p>
      <w:pPr>
        <w:pStyle w:val="ListParagraph"/>
        <w:numPr>
          <w:ilvl w:val="0"/>
          <w:numId w:val="3"/>
        </w:numPr>
        <w:spacing w:after="80"/>
      </w:pPr>
      <w:r>
        <w:t xml:space="preserve">Otuka, N. et al. (2014). Towards a More Complete and Accurate Experimental Nuclear Reaction Data Library (EXFOR). Nuclear Data Sheets 120, 272–276.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NUCML-Next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2026-02-01T22:12:40.259Z</dcterms:created>
  <dcterms:modified xsi:type="dcterms:W3CDTF">2026-02-01T22:12:40.260Z</dcterms:modified>
</cp:coreProperties>
</file>

<file path=docProps/custom.xml><?xml version="1.0" encoding="utf-8"?>
<Properties xmlns="http://schemas.openxmlformats.org/officeDocument/2006/custom-properties" xmlns:vt="http://schemas.openxmlformats.org/officeDocument/2006/docPropsVTypes"/>
</file>