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Business Case</w:t>
      </w:r>
    </w:p>
    <w:p>
      <w:pPr>
        <w:jc w:val="left"/>
      </w:pPr>
      <w:r>
        <w:rPr>
          <w:color w:val="363F5C"/>
          <w:sz w:val="32"/>
        </w:rPr>
        <w:t>SendFloo — Justification économique du projet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SF-PMO-BC-002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Opportunité marché</w:t>
      </w:r>
    </w:p>
    <w:p>
      <w:r>
        <w:rPr>
          <w:b/>
          <w:color w:val="011645"/>
          <w:sz w:val="22"/>
        </w:rPr>
        <w:t>2. Cible client</w:t>
      </w:r>
    </w:p>
    <w:p>
      <w:r>
        <w:rPr>
          <w:b/>
          <w:color w:val="011645"/>
          <w:sz w:val="22"/>
        </w:rPr>
        <w:t>3. Volumes prévisionnels</w:t>
      </w:r>
    </w:p>
    <w:p>
      <w:r>
        <w:rPr>
          <w:b/>
          <w:color w:val="011645"/>
          <w:sz w:val="22"/>
        </w:rPr>
        <w:t>4. Revenus attendus</w:t>
      </w:r>
    </w:p>
    <w:p>
      <w:r>
        <w:rPr>
          <w:b/>
          <w:color w:val="011645"/>
          <w:sz w:val="22"/>
        </w:rPr>
        <w:t>5. Structure de coûts</w:t>
      </w:r>
    </w:p>
    <w:p>
      <w:r>
        <w:rPr>
          <w:b/>
          <w:color w:val="011645"/>
          <w:sz w:val="22"/>
        </w:rPr>
        <w:t>6. ROI prévisionnel</w:t>
      </w:r>
    </w:p>
    <w:p>
      <w:r>
        <w:rPr>
          <w:b/>
          <w:color w:val="011645"/>
          <w:sz w:val="22"/>
        </w:rPr>
        <w:t>7. Risques business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Opportunité marché</w:t>
      </w:r>
    </w:p>
    <w:p>
      <w:pPr>
        <w:pStyle w:val="Heading2"/>
      </w:pPr>
      <w:r>
        <w:rPr>
          <w:color w:val="022A6B"/>
          <w:sz w:val="30"/>
        </w:rPr>
        <w:t>1.1 Taille du marché</w:t>
      </w:r>
    </w:p>
    <w:p>
      <w:r>
        <w:rPr>
          <w:b w:val="0"/>
          <w:i w:val="0"/>
        </w:rPr>
        <w:t>Selon la Banque Mondiale (Remittance Prices Worldwide, 2024) :</w:t>
      </w:r>
    </w:p>
    <w:p>
      <w:pPr>
        <w:pStyle w:val="ListBullet"/>
      </w:pPr>
      <w:r>
        <w:t>Marché mondial des remittances : 860 Mds USD / an, croissance 5-7 % CAGR.</w:t>
      </w:r>
    </w:p>
    <w:p>
      <w:pPr>
        <w:pStyle w:val="ListBullet"/>
      </w:pPr>
      <w:r>
        <w:t>Afrique subsaharienne : 100 Mds USD, dont environ 25 Mds depuis l'Europe.</w:t>
      </w:r>
    </w:p>
    <w:p>
      <w:pPr>
        <w:pStyle w:val="ListBullet"/>
      </w:pPr>
      <w:r>
        <w:t>Coût moyen mondial d'un transfert (TMT) : 6,18 % en Q2 2024.</w:t>
      </w:r>
    </w:p>
    <w:p>
      <w:pPr>
        <w:pStyle w:val="ListBullet"/>
      </w:pPr>
      <w:r>
        <w:t>Objectif fixé par les Nations Unies (SDG 10.c) : réduire à 3 % d'ici 2030.</w:t>
      </w:r>
    </w:p>
    <w:p>
      <w:pPr>
        <w:pStyle w:val="Heading2"/>
      </w:pPr>
      <w:r>
        <w:rPr>
          <w:color w:val="022A6B"/>
          <w:sz w:val="30"/>
        </w:rPr>
        <w:t>1.2 Gisement de valeur capturable</w:t>
      </w:r>
    </w:p>
    <w:p>
      <w:r>
        <w:rPr>
          <w:b w:val="0"/>
          <w:i w:val="0"/>
        </w:rPr>
        <w:t>Sur le corridor France ↔ Cameroun seul (1,8 Mds €/an), si SendFloo capture 5 % du marché et applique une commission moyenne nette de 1,8 % (vs ~6 % chez les acteurs traditionnels), cela représente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Corridor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Volume capté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Commission nette plate-forme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Revenu annuel SendFloo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France → Cameroun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5 % × 1,8 Mds = 90 M€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1,8 %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1,62 M€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France → Sénégal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5 % × 1,2 Mds = 60 M€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1,8 %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1,08 M€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France → Côte d'Ivoire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5 % × 1,1 Mds = 55 M€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1,8 %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0,99 M€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Total 3 corridors initiaux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205 M€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3,69 M€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2. Cible client</w:t>
      </w:r>
    </w:p>
    <w:p>
      <w:pPr>
        <w:pStyle w:val="Heading2"/>
      </w:pPr>
      <w:r>
        <w:rPr>
          <w:color w:val="022A6B"/>
          <w:sz w:val="30"/>
        </w:rPr>
        <w:t>2.1 Persona 1 — Solange (cliente diaspora)</w:t>
      </w:r>
    </w:p>
    <w:p>
      <w:pPr>
        <w:pStyle w:val="ListBullet"/>
      </w:pPr>
      <w:r>
        <w:t>Femme, 38 ans, vit à Bondy (93), aide-soignante.</w:t>
      </w:r>
    </w:p>
    <w:p>
      <w:pPr>
        <w:pStyle w:val="ListBullet"/>
      </w:pPr>
      <w:r>
        <w:t>Originaire de Yaoundé. Envoie 250 € tous les 15 du mois à sa mère.</w:t>
      </w:r>
    </w:p>
    <w:p>
      <w:pPr>
        <w:pStyle w:val="ListBullet"/>
      </w:pPr>
      <w:r>
        <w:t>Utilise actuellement Western Union (frais ~17 €) → SendFloo lui coûterait ~5 €.</w:t>
      </w:r>
    </w:p>
    <w:p>
      <w:pPr>
        <w:pStyle w:val="ListBullet"/>
      </w:pPr>
      <w:r>
        <w:t>Économie annuelle : 288 € si SendFloo l'accompagne 24 mois.</w:t>
      </w:r>
    </w:p>
    <w:p>
      <w:pPr>
        <w:pStyle w:val="ListBullet"/>
      </w:pPr>
      <w:r>
        <w:t>Frustration principale : opacité des frais et délais incertains.</w:t>
      </w:r>
    </w:p>
    <w:p>
      <w:pPr>
        <w:pStyle w:val="Heading2"/>
      </w:pPr>
      <w:r>
        <w:rPr>
          <w:color w:val="022A6B"/>
          <w:sz w:val="30"/>
        </w:rPr>
        <w:t>2.2 Persona 2 — Jules (agent PayBID)</w:t>
      </w:r>
    </w:p>
    <w:p>
      <w:pPr>
        <w:pStyle w:val="ListBullet"/>
      </w:pPr>
      <w:r>
        <w:t>Homme, 32 ans, agent indépendant à Yaoundé (Mvog-Mbi).</w:t>
      </w:r>
    </w:p>
    <w:p>
      <w:pPr>
        <w:pStyle w:val="ListBullet"/>
      </w:pPr>
      <w:r>
        <w:t>Possède un petit local + caisse en XAF avec un float quotidien de 500 000 XAF.</w:t>
      </w:r>
    </w:p>
    <w:p>
      <w:pPr>
        <w:pStyle w:val="ListBullet"/>
      </w:pPr>
      <w:r>
        <w:t>Reçoit aujourd'hui 25 à 40 transferts/jour, marge moyenne de 1 200 XAF/op.</w:t>
      </w:r>
    </w:p>
    <w:p>
      <w:pPr>
        <w:pStyle w:val="ListBullet"/>
      </w:pPr>
      <w:r>
        <w:t>Cherche à optimiser ses commissions et fidéliser ses clients via PayBID.</w:t>
      </w:r>
    </w:p>
    <w:p>
      <w:pPr>
        <w:pStyle w:val="ListBullet"/>
      </w:pPr>
      <w:r>
        <w:t>Frustration principale : pas de visibilité sur la concurrence agent-à-agent.</w:t>
      </w:r>
    </w:p>
    <w:p>
      <w:pPr>
        <w:pStyle w:val="Heading2"/>
      </w:pPr>
      <w:r>
        <w:rPr>
          <w:color w:val="022A6B"/>
          <w:sz w:val="30"/>
        </w:rPr>
        <w:t>2.3 Segmentation et hiérarchie de besoins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Volume cible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Besoin principal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Tier KYC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Étudiants diaspora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50 €–200 €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Frais très bas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Tier 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Familles régulières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150 €–500 €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Fiabilité, suivi temps réel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Tier 2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Entrepreneurs / commerçants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500 €–5 000 €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Volume, multi-devises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Tier 3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Ponctuels (mariages, urgences)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1 000 €–20 000 €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Disponibilité immédiate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Tier 3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3. Volumes prévisionnels</w:t>
      </w:r>
    </w:p>
    <w:p>
      <w:pPr>
        <w:pStyle w:val="Heading2"/>
      </w:pPr>
      <w:r>
        <w:rPr>
          <w:color w:val="022A6B"/>
          <w:sz w:val="30"/>
        </w:rPr>
        <w:t>3.1 Modèle de croissance trimestrielle (Année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Trimestre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Nouveaux utilisateurs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MAU cumul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GMV trimestriel</w:t>
            </w:r>
          </w:p>
        </w:tc>
        <w:tc>
          <w:tcPr>
            <w:tcW w:type="dxa" w:w="19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Transferts/trim.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T1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1 500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1 200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240 000 €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950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T2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4 500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5 100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1 100 000 €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4 400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T3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12 000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15 500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3 500 000 €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14 200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T4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25 000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37 000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9 800 000 €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39 200</w:t>
            </w:r>
          </w:p>
        </w:tc>
      </w:tr>
      <w:tr>
        <w:tc>
          <w:tcPr>
            <w:tcW w:type="dxa" w:w="1949"/>
          </w:tcPr>
          <w:p>
            <w:r>
              <w:rPr>
                <w:sz w:val="20"/>
              </w:rPr>
              <w:t>Année 1 total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43 000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37 000 (fin Y1)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14,6 M€</w:t>
            </w:r>
          </w:p>
        </w:tc>
        <w:tc>
          <w:tcPr>
            <w:tcW w:type="dxa" w:w="1949"/>
          </w:tcPr>
          <w:p>
            <w:r>
              <w:rPr>
                <w:sz w:val="20"/>
              </w:rPr>
              <w:t>58 750</w:t>
            </w:r>
          </w:p>
        </w:tc>
      </w:tr>
    </w:tbl>
    <w:p>
      <w:pPr>
        <w:pStyle w:val="Heading2"/>
      </w:pPr>
      <w:r>
        <w:rPr>
          <w:color w:val="022A6B"/>
          <w:sz w:val="30"/>
        </w:rPr>
        <w:t>3.2 Projection sur 36 mois (volume annuel)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MAU fin année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GMV annuel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Revenu net SendFloo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Y1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37 000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14,6 M€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263 K€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Y2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180 000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120 M€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2,16 M€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Y3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550 000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440 M€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7,92 M€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Revenus attendus</w:t>
      </w:r>
    </w:p>
    <w:p>
      <w:r>
        <w:rPr>
          <w:b w:val="0"/>
          <w:i w:val="0"/>
        </w:rPr>
        <w:t>SendFloo monétise via 4 leviers complémentaires :</w:t>
      </w:r>
    </w:p>
    <w:p>
      <w:pPr>
        <w:pStyle w:val="Heading2"/>
      </w:pPr>
      <w:r>
        <w:rPr>
          <w:color w:val="022A6B"/>
          <w:sz w:val="30"/>
        </w:rPr>
        <w:t>4.1 Commission plate-forme (revenu principal)</w:t>
      </w:r>
    </w:p>
    <w:p>
      <w:pPr>
        <w:pStyle w:val="ListBullet"/>
      </w:pPr>
      <w:r>
        <w:t>Prélevée sur chaque transfert COMPLETED.</w:t>
      </w:r>
    </w:p>
    <w:p>
      <w:pPr>
        <w:pStyle w:val="ListBullet"/>
      </w:pPr>
      <w:r>
        <w:t>Taux moyen pondéré attendu : 0,8 % du montant + 0,80 € fixe.</w:t>
      </w:r>
    </w:p>
    <w:p>
      <w:pPr>
        <w:pStyle w:val="ListBullet"/>
      </w:pPr>
      <w:r>
        <w:t>Exemple sur 250 € : commission 0,8 % × 250 + 0,80 = 2,80 € net.</w:t>
      </w:r>
    </w:p>
    <w:p>
      <w:pPr>
        <w:pStyle w:val="Heading2"/>
      </w:pPr>
      <w:r>
        <w:rPr>
          <w:color w:val="022A6B"/>
          <w:sz w:val="30"/>
        </w:rPr>
        <w:t>4.2 Abonnement PayBID Agent (revenu récurrent)</w:t>
      </w:r>
    </w:p>
    <w:p>
      <w:pPr>
        <w:pStyle w:val="ListBullet"/>
      </w:pPr>
      <w:r>
        <w:t>Plan PayBID : 9,90 €/mois ou 99 €/an.</w:t>
      </w:r>
    </w:p>
    <w:p>
      <w:pPr>
        <w:pStyle w:val="ListBullet"/>
      </w:pPr>
      <w:r>
        <w:t>Plan Super-Agent : 49 €/mois.</w:t>
      </w:r>
    </w:p>
    <w:p>
      <w:pPr>
        <w:pStyle w:val="ListBullet"/>
      </w:pPr>
      <w:r>
        <w:t>Objectif M+12 : 2 500 agents PayBID × 9,90 € × 12 = 297 000 €/an.</w:t>
      </w:r>
    </w:p>
    <w:p>
      <w:pPr>
        <w:pStyle w:val="Heading2"/>
      </w:pPr>
      <w:r>
        <w:rPr>
          <w:color w:val="022A6B"/>
          <w:sz w:val="30"/>
        </w:rPr>
        <w:t>4.3 Spread sur taux de change (revenu indirect)</w:t>
      </w:r>
    </w:p>
    <w:p>
      <w:r>
        <w:rPr>
          <w:b w:val="0"/>
          <w:i w:val="0"/>
        </w:rPr>
        <w:t>Sur chaque conversion EUR ↔ XAF/XOF, SendFloo applique une marge de 0,5 à 1,2 % sur le taux interbancaire. Cette marge est transparente (affichée à l'utilisateur).</w:t>
      </w:r>
    </w:p>
    <w:p>
      <w:pPr>
        <w:pStyle w:val="Heading2"/>
      </w:pPr>
      <w:r>
        <w:rPr>
          <w:color w:val="022A6B"/>
          <w:sz w:val="30"/>
        </w:rPr>
        <w:t>4.4 Partenariats commerciaux</w:t>
      </w:r>
    </w:p>
    <w:p>
      <w:pPr>
        <w:pStyle w:val="ListBullet"/>
      </w:pPr>
      <w:r>
        <w:t>Affiliations avec opérateurs Mobile Money (rev-share 0,1 à 0,3 %).</w:t>
      </w:r>
    </w:p>
    <w:p>
      <w:pPr>
        <w:pStyle w:val="ListBullet"/>
      </w:pPr>
      <w:r>
        <w:t>API B2B futur (post-V1) pour entreprises avec employés diaspora.</w:t>
      </w:r>
    </w:p>
    <w:p>
      <w:pPr>
        <w:pStyle w:val="Heading2"/>
      </w:pPr>
      <w:r>
        <w:rPr>
          <w:color w:val="022A6B"/>
          <w:sz w:val="30"/>
        </w:rPr>
        <w:t>4.5 P&amp;L synthétique année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Source de revenu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Année 3 (€)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% du total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Commission plate-forme (~0,8 % × 440 M€)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3 520 000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65 %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Abonnements PayBID + Super-Agent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750 000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14 %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Spread FX (~0,7 % × 440 M€)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3 080 000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57 %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Partenariats (rev-share)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440 000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8 %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Total revenus bruts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7 790 000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100 %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5. Structure de coûts</w:t>
      </w:r>
    </w:p>
    <w:p>
      <w:pPr>
        <w:pStyle w:val="Heading2"/>
      </w:pPr>
      <w:r>
        <w:rPr>
          <w:color w:val="022A6B"/>
          <w:sz w:val="30"/>
        </w:rPr>
        <w:t>5.1 Coûts variables (par transaction)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Poste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Coût moyen / transaction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Frais paiement entrant (Stripe / PayPal)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1,4 % + 0,25 €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Frais paiement sortant (Mobile Money / Banque)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0,5 à 1 %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Coût de l'agent (commission moyenne reversée)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1,8 % à 3,2 %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Coût TX support / KYC moyen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0,15 €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Total coût variable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~3,5 % à 5,5 %</w:t>
            </w:r>
          </w:p>
        </w:tc>
      </w:tr>
    </w:tbl>
    <w:p>
      <w:pPr>
        <w:pStyle w:val="Heading2"/>
      </w:pPr>
      <w:r>
        <w:rPr>
          <w:color w:val="022A6B"/>
          <w:sz w:val="30"/>
        </w:rPr>
        <w:t>5.2 Coûts fixes annuels (Year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Catégorie</w:t>
            </w:r>
          </w:p>
        </w:tc>
        <w:tc>
          <w:tcPr>
            <w:tcW w:type="dxa" w:w="4873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Montant annuel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Salaires &amp; charges (équipe 25 personnes)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1 800 000 €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Infrastructure cloud + monitoring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120 000 €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Licences SaaS (Stripe, Twilio, Segment...)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85 000 €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Marketing &amp; acquisition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900 000 €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Compliance + audits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200 000 €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Locaux + fonctions support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180 000 €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Total coûts fixes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3 285 000 €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6. ROI prévisionnel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Année</w:t>
            </w:r>
          </w:p>
        </w:tc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Revenus</w:t>
            </w:r>
          </w:p>
        </w:tc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Coûts totaux</w:t>
            </w:r>
          </w:p>
        </w:tc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EBITDA</w:t>
            </w:r>
          </w:p>
        </w:tc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Investissement cumulé</w:t>
            </w:r>
          </w:p>
        </w:tc>
        <w:tc>
          <w:tcPr>
            <w:tcW w:type="dxa" w:w="1624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ROI cumulé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Y1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263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1 050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-787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1 050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-75 %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Y2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2 160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2 100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+60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2 990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-23 %</w:t>
            </w:r>
          </w:p>
        </w:tc>
      </w:tr>
      <w:tr>
        <w:tc>
          <w:tcPr>
            <w:tcW w:type="dxa" w:w="1624"/>
          </w:tcPr>
          <w:p>
            <w:r>
              <w:rPr>
                <w:sz w:val="20"/>
              </w:rPr>
              <w:t>Y3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7 790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5 200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+2 590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5 600 K€</w:t>
            </w:r>
          </w:p>
        </w:tc>
        <w:tc>
          <w:tcPr>
            <w:tcW w:type="dxa" w:w="1624"/>
          </w:tcPr>
          <w:p>
            <w:r>
              <w:rPr>
                <w:sz w:val="20"/>
              </w:rPr>
              <w:t>+91 %</w:t>
            </w:r>
          </w:p>
        </w:tc>
      </w:tr>
    </w:tbl>
    <w:p>
      <w:r>
        <w:rPr>
          <w:b w:val="0"/>
          <w:i/>
        </w:rPr>
        <w:t>Point mort opérationnel attendu : Q3 Y2. Payback complet de l'investissement initial à fin Y3.</w:t>
      </w:r>
    </w:p>
    <w:p>
      <w:pPr>
        <w:pStyle w:val="Heading1"/>
      </w:pPr>
      <w:r>
        <w:rPr>
          <w:color w:val="011645"/>
          <w:sz w:val="40"/>
        </w:rPr>
        <w:t>7. Risques business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Risque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Probabilité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Délai d'agrément EMI &gt; 12 mois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Critique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Partenariat initial avec EMI existant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Concurrent local lance enchère similaire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Avance technologique + UX différenciante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Volatilité FX &gt; 10 %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Couverture FX dynamique + spread protecteur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CAC &gt; 25 €/utilisateur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Programme parrainage + organic growth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Fraude opérationnelle (agent collusion)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Critique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Système scoring + audit aléatoire + sanctions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Panne Mobile Money corridor clé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Moyenne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Élevé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Multi-partenaires (MTN + Orange + Wave) par corridor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Perte d'agrément suite à incident AML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Faible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Critique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Compliance Officer + équipe AML dédiée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