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22A6B"/>
          <w:sz w:val="40"/>
        </w:rPr>
        <w:t xml:space="preserve">SENDFLOO </w:t>
      </w:r>
      <w:r>
        <w:rPr>
          <w:color w:val="6E769A"/>
          <w:sz w:val="26"/>
        </w:rPr>
        <w:t>· documentation projet</w:t>
      </w:r>
    </w:p>
    <w:p/>
    <w:p/>
    <w:p/>
    <w:p/>
    <w:p/>
    <w:p/>
    <w:p>
      <w:pPr>
        <w:jc w:val="left"/>
      </w:pPr>
      <w:r>
        <w:rPr>
          <w:b/>
          <w:color w:val="011645"/>
          <w:sz w:val="72"/>
        </w:rPr>
        <w:t>Note de cadrage projet</w:t>
      </w:r>
    </w:p>
    <w:p>
      <w:pPr>
        <w:jc w:val="left"/>
      </w:pPr>
      <w:r>
        <w:rPr>
          <w:color w:val="363F5C"/>
          <w:sz w:val="32"/>
        </w:rPr>
        <w:t>SendFloo — Plateforme de transfert d'argent par enchère inversée</w:t>
      </w:r>
    </w:p>
    <w:p/>
    <w:p/>
    <w:p/>
    <w:p/>
    <w:p/>
    <w:p/>
    <w:p/>
    <w:p/>
    <w:p/>
    <w:p/>
    <w:tbl>
      <w:tblPr>
        <w:tblStyle w:val="LightGrid-Accent1"/>
        <w:tblW w:type="auto" w:w="0"/>
        <w:tblLook w:firstColumn="1" w:firstRow="1" w:lastColumn="0" w:lastRow="0" w:noHBand="0" w:noVBand="1" w:val="04A0"/>
      </w:tblPr>
      <w:tblGrid>
        <w:gridCol w:w="4873"/>
        <w:gridCol w:w="4873"/>
      </w:tblGrid>
      <w:tr>
        <w:tc>
          <w:tcPr>
            <w:tcW w:type="dxa" w:w="4873"/>
          </w:tcPr>
          <w:p>
            <w:r>
              <w:rPr>
                <w:b/>
                <w:color w:val="022A6B"/>
                <w:sz w:val="22"/>
              </w:rPr>
              <w:t>Code document</w:t>
            </w:r>
          </w:p>
        </w:tc>
        <w:tc>
          <w:tcPr>
            <w:tcW w:type="dxa" w:w="4873"/>
          </w:tcPr>
          <w:p>
            <w:r>
              <w:t>SF-PMO-NC-001</w:t>
            </w:r>
          </w:p>
        </w:tc>
      </w:tr>
      <w:tr>
        <w:tc>
          <w:tcPr>
            <w:tcW w:type="dxa" w:w="4873"/>
          </w:tcPr>
          <w:p>
            <w:r>
              <w:rPr>
                <w:b/>
                <w:color w:val="022A6B"/>
                <w:sz w:val="22"/>
              </w:rPr>
              <w:t>Version</w:t>
            </w:r>
          </w:p>
        </w:tc>
        <w:tc>
          <w:tcPr>
            <w:tcW w:type="dxa" w:w="4873"/>
          </w:tcPr>
          <w:p>
            <w:r>
              <w:t>1.0</w:t>
            </w:r>
          </w:p>
        </w:tc>
      </w:tr>
      <w:tr>
        <w:tc>
          <w:tcPr>
            <w:tcW w:type="dxa" w:w="4873"/>
          </w:tcPr>
          <w:p>
            <w:r>
              <w:rPr>
                <w:b/>
                <w:color w:val="022A6B"/>
                <w:sz w:val="22"/>
              </w:rPr>
              <w:t>Date d'édition</w:t>
            </w:r>
          </w:p>
        </w:tc>
        <w:tc>
          <w:tcPr>
            <w:tcW w:type="dxa" w:w="4873"/>
          </w:tcPr>
          <w:p>
            <w:r>
              <w:t>03/06/2026</w:t>
            </w:r>
          </w:p>
        </w:tc>
      </w:tr>
      <w:tr>
        <w:tc>
          <w:tcPr>
            <w:tcW w:type="dxa" w:w="4873"/>
          </w:tcPr>
          <w:p>
            <w:r>
              <w:rPr>
                <w:b/>
                <w:color w:val="022A6B"/>
                <w:sz w:val="22"/>
              </w:rPr>
              <w:t>Auteur(s)</w:t>
            </w:r>
          </w:p>
        </w:tc>
        <w:tc>
          <w:tcPr>
            <w:tcW w:type="dxa" w:w="4873"/>
          </w:tcPr>
          <w:p>
            <w:r>
              <w:t>Direction Produit SendFloo</w:t>
            </w:r>
          </w:p>
        </w:tc>
      </w:tr>
      <w:tr>
        <w:tc>
          <w:tcPr>
            <w:tcW w:type="dxa" w:w="4873"/>
          </w:tcPr>
          <w:p>
            <w:r>
              <w:rPr>
                <w:b/>
                <w:color w:val="022A6B"/>
                <w:sz w:val="22"/>
              </w:rPr>
              <w:t>Destinataires</w:t>
            </w:r>
          </w:p>
        </w:tc>
        <w:tc>
          <w:tcPr>
            <w:tcW w:type="dxa" w:w="4873"/>
          </w:tcPr>
          <w:p>
            <w:r>
              <w:t>Comité de Pilotage, Équipes Technique &amp; Métier</w:t>
            </w:r>
          </w:p>
        </w:tc>
      </w:tr>
    </w:tbl>
    <w:p>
      <w:r>
        <w:br w:type="page"/>
      </w:r>
    </w:p>
    <w:p>
      <w:pPr>
        <w:pStyle w:val="Heading1"/>
        <w:jc w:val="left"/>
      </w:pPr>
      <w:r>
        <w:rPr>
          <w:color w:val="011645"/>
        </w:rPr>
        <w:t>Sommaire</w:t>
      </w:r>
    </w:p>
    <w:p>
      <w:r>
        <w:rPr>
          <w:b/>
          <w:color w:val="011645"/>
          <w:sz w:val="22"/>
        </w:rPr>
        <w:t>1. Objectif du projet</w:t>
      </w:r>
    </w:p>
    <w:p>
      <w:r>
        <w:rPr>
          <w:b/>
          <w:color w:val="011645"/>
          <w:sz w:val="22"/>
        </w:rPr>
        <w:t>2. Contexte et problème à résoudre</w:t>
      </w:r>
    </w:p>
    <w:p>
      <w:r>
        <w:rPr>
          <w:b/>
          <w:color w:val="011645"/>
          <w:sz w:val="22"/>
        </w:rPr>
        <w:t>3. Périmètre</w:t>
      </w:r>
    </w:p>
    <w:p>
      <w:r>
        <w:rPr>
          <w:b/>
          <w:color w:val="011645"/>
          <w:sz w:val="22"/>
        </w:rPr>
        <w:t>4. Hors périmètre</w:t>
      </w:r>
    </w:p>
    <w:p>
      <w:r>
        <w:rPr>
          <w:b/>
          <w:color w:val="011645"/>
          <w:sz w:val="22"/>
        </w:rPr>
        <w:t>5. Parties prenantes</w:t>
      </w:r>
    </w:p>
    <w:p>
      <w:r>
        <w:rPr>
          <w:b/>
          <w:color w:val="011645"/>
          <w:sz w:val="22"/>
        </w:rPr>
        <w:t>6. Hypothèses</w:t>
      </w:r>
    </w:p>
    <w:p>
      <w:r>
        <w:rPr>
          <w:b/>
          <w:color w:val="011645"/>
          <w:sz w:val="22"/>
        </w:rPr>
        <w:t>7. Contraintes</w:t>
      </w:r>
    </w:p>
    <w:p>
      <w:r>
        <w:rPr>
          <w:b/>
          <w:color w:val="011645"/>
          <w:sz w:val="22"/>
        </w:rPr>
        <w:t>8. Budget estimatif</w:t>
      </w:r>
    </w:p>
    <w:p>
      <w:r>
        <w:rPr>
          <w:b/>
          <w:color w:val="011645"/>
          <w:sz w:val="22"/>
        </w:rPr>
        <w:t>9. Planning macro</w:t>
      </w:r>
    </w:p>
    <w:p>
      <w:r>
        <w:rPr>
          <w:b/>
          <w:color w:val="011645"/>
          <w:sz w:val="22"/>
        </w:rPr>
        <w:t>10. Critères de succès</w:t>
      </w:r>
    </w:p>
    <w:p>
      <w:r>
        <w:br w:type="page"/>
      </w:r>
    </w:p>
    <w:p>
      <w:pPr>
        <w:pStyle w:val="Heading1"/>
      </w:pPr>
      <w:r>
        <w:rPr>
          <w:color w:val="011645"/>
          <w:sz w:val="40"/>
        </w:rPr>
        <w:t>1. Objectif du projet</w:t>
      </w:r>
    </w:p>
    <w:p>
      <w:r>
        <w:rPr>
          <w:b w:val="0"/>
          <w:i w:val="0"/>
        </w:rPr>
        <w:t>Le projet SendFloo a pour objectif de construire et lancer une plateforme de transfert d'argent international fondée sur un mécanisme inédit : l'enchère inversée en temps réel. Là où les acteurs traditionnels du marché (Western Union, MoneyGram, Wise) imposent un tarif fixe ou semi-dynamique, SendFloo met les agents locaux en compétition pendant 30 secondes pour proposer le meilleur taux de frais à l'expéditeur.</w:t>
      </w:r>
    </w:p>
    <w:p>
      <w:r>
        <w:rPr>
          <w:b w:val="0"/>
          <w:i w:val="0"/>
        </w:rPr>
        <w:t>L'ambition de SendFloo est triple :</w:t>
      </w:r>
    </w:p>
    <w:p>
      <w:pPr>
        <w:pStyle w:val="ListBullet"/>
      </w:pPr>
      <w:r>
        <w:t>Réduire le coût moyen d'un transfert d'argent de la diaspora vers l'Afrique de 35 % à 50 % par rapport aux acteurs en place, en redistribuant la marge captée par les intermédiaires aux exépditeurs et aux agents.</w:t>
      </w:r>
    </w:p>
    <w:p>
      <w:pPr>
        <w:pStyle w:val="ListBullet"/>
      </w:pPr>
      <w:r>
        <w:t>Offrir une expérience utilisateur native, multilingue (7 langues), accessible et inclusive : enchère live, suivi temps réel, biométrie, paiements 100 % in-app, support 24/7.</w:t>
      </w:r>
    </w:p>
    <w:p>
      <w:pPr>
        <w:pStyle w:val="ListBullet"/>
      </w:pPr>
      <w:r>
        <w:t>Construire un réseau de confiance composé d'agents certifiés, notés, rémunérés équitablement, avec une gouvernance opérationnelle reproductible dans 250+ pays.</w:t>
      </w:r>
    </w:p>
    <w:p>
      <w:pPr>
        <w:pStyle w:val="Heading2"/>
      </w:pPr>
      <w:r>
        <w:rPr>
          <w:color w:val="022A6B"/>
          <w:sz w:val="30"/>
        </w:rPr>
        <w:t>Objectifs SMART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022A6B"/>
          </w:tcPr>
          <w:p>
            <w:r>
              <w:rPr>
                <w:b/>
                <w:color w:val="FFFFFF"/>
                <w:sz w:val="20"/>
              </w:rPr>
              <w:t>Objectif</w:t>
            </w:r>
          </w:p>
        </w:tc>
        <w:tc>
          <w:tcPr>
            <w:tcW w:type="dxa" w:w="2436"/>
            <w:shd w:val="clear" w:color="auto" w:fill="022A6B"/>
          </w:tcPr>
          <w:p>
            <w:r>
              <w:rPr>
                <w:b/>
                <w:color w:val="FFFFFF"/>
                <w:sz w:val="20"/>
              </w:rPr>
              <w:t>Métrique</w:t>
            </w:r>
          </w:p>
        </w:tc>
        <w:tc>
          <w:tcPr>
            <w:tcW w:type="dxa" w:w="2436"/>
            <w:shd w:val="clear" w:color="auto" w:fill="022A6B"/>
          </w:tcPr>
          <w:p>
            <w:r>
              <w:rPr>
                <w:b/>
                <w:color w:val="FFFFFF"/>
                <w:sz w:val="20"/>
              </w:rPr>
              <w:t>Cible</w:t>
            </w:r>
          </w:p>
        </w:tc>
        <w:tc>
          <w:tcPr>
            <w:tcW w:type="dxa" w:w="2436"/>
            <w:shd w:val="clear" w:color="auto" w:fill="022A6B"/>
          </w:tcPr>
          <w:p>
            <w:r>
              <w:rPr>
                <w:b/>
                <w:color w:val="FFFFFF"/>
                <w:sz w:val="20"/>
              </w:rPr>
              <w:t>Échéance</w:t>
            </w:r>
          </w:p>
        </w:tc>
      </w:tr>
      <w:tr>
        <w:tc>
          <w:tcPr>
            <w:tcW w:type="dxa" w:w="2436"/>
          </w:tcPr>
          <w:p>
            <w:r>
              <w:rPr>
                <w:sz w:val="20"/>
              </w:rPr>
              <w:t>Acquisition utilisateurs</w:t>
            </w:r>
          </w:p>
        </w:tc>
        <w:tc>
          <w:tcPr>
            <w:tcW w:type="dxa" w:w="2436"/>
          </w:tcPr>
          <w:p>
            <w:r>
              <w:rPr>
                <w:sz w:val="20"/>
              </w:rPr>
              <w:t>MAU (Monthly Active Users)</w:t>
            </w:r>
          </w:p>
        </w:tc>
        <w:tc>
          <w:tcPr>
            <w:tcW w:type="dxa" w:w="2436"/>
          </w:tcPr>
          <w:p>
            <w:r>
              <w:rPr>
                <w:sz w:val="20"/>
              </w:rPr>
              <w:t>50 000</w:t>
            </w:r>
          </w:p>
        </w:tc>
        <w:tc>
          <w:tcPr>
            <w:tcW w:type="dxa" w:w="2436"/>
          </w:tcPr>
          <w:p>
            <w:r>
              <w:rPr>
                <w:sz w:val="20"/>
              </w:rPr>
              <w:t>M+12</w:t>
            </w:r>
          </w:p>
        </w:tc>
      </w:tr>
      <w:tr>
        <w:tc>
          <w:tcPr>
            <w:tcW w:type="dxa" w:w="2436"/>
          </w:tcPr>
          <w:p>
            <w:r>
              <w:rPr>
                <w:sz w:val="20"/>
              </w:rPr>
              <w:t>Volume transféré</w:t>
            </w:r>
          </w:p>
        </w:tc>
        <w:tc>
          <w:tcPr>
            <w:tcW w:type="dxa" w:w="2436"/>
          </w:tcPr>
          <w:p>
            <w:r>
              <w:rPr>
                <w:sz w:val="20"/>
              </w:rPr>
              <w:t>GMV cumulé</w:t>
            </w:r>
          </w:p>
        </w:tc>
        <w:tc>
          <w:tcPr>
            <w:tcW w:type="dxa" w:w="2436"/>
          </w:tcPr>
          <w:p>
            <w:r>
              <w:rPr>
                <w:sz w:val="20"/>
              </w:rPr>
              <w:t>100 M€</w:t>
            </w:r>
          </w:p>
        </w:tc>
        <w:tc>
          <w:tcPr>
            <w:tcW w:type="dxa" w:w="2436"/>
          </w:tcPr>
          <w:p>
            <w:r>
              <w:rPr>
                <w:sz w:val="20"/>
              </w:rPr>
              <w:t>M+18</w:t>
            </w:r>
          </w:p>
        </w:tc>
      </w:tr>
      <w:tr>
        <w:tc>
          <w:tcPr>
            <w:tcW w:type="dxa" w:w="2436"/>
          </w:tcPr>
          <w:p>
            <w:r>
              <w:rPr>
                <w:sz w:val="20"/>
              </w:rPr>
              <w:t>Réseau agents actifs</w:t>
            </w:r>
          </w:p>
        </w:tc>
        <w:tc>
          <w:tcPr>
            <w:tcW w:type="dxa" w:w="2436"/>
          </w:tcPr>
          <w:p>
            <w:r>
              <w:rPr>
                <w:sz w:val="20"/>
              </w:rPr>
              <w:t>Agents Approuvés</w:t>
            </w:r>
          </w:p>
        </w:tc>
        <w:tc>
          <w:tcPr>
            <w:tcW w:type="dxa" w:w="2436"/>
          </w:tcPr>
          <w:p>
            <w:r>
              <w:rPr>
                <w:sz w:val="20"/>
              </w:rPr>
              <w:t>2 500</w:t>
            </w:r>
          </w:p>
        </w:tc>
        <w:tc>
          <w:tcPr>
            <w:tcW w:type="dxa" w:w="2436"/>
          </w:tcPr>
          <w:p>
            <w:r>
              <w:rPr>
                <w:sz w:val="20"/>
              </w:rPr>
              <w:t>M+12</w:t>
            </w:r>
          </w:p>
        </w:tc>
      </w:tr>
      <w:tr>
        <w:tc>
          <w:tcPr>
            <w:tcW w:type="dxa" w:w="2436"/>
          </w:tcPr>
          <w:p>
            <w:r>
              <w:rPr>
                <w:sz w:val="20"/>
              </w:rPr>
              <w:t>Économies utilisateur moyennes</w:t>
            </w:r>
          </w:p>
        </w:tc>
        <w:tc>
          <w:tcPr>
            <w:tcW w:type="dxa" w:w="2436"/>
          </w:tcPr>
          <w:p>
            <w:r>
              <w:rPr>
                <w:sz w:val="20"/>
              </w:rPr>
              <w:t>% de gain vs concurrents</w:t>
            </w:r>
          </w:p>
        </w:tc>
        <w:tc>
          <w:tcPr>
            <w:tcW w:type="dxa" w:w="2436"/>
          </w:tcPr>
          <w:p>
            <w:r>
              <w:rPr>
                <w:sz w:val="20"/>
              </w:rPr>
              <w:t>≥ 35 %</w:t>
            </w:r>
          </w:p>
        </w:tc>
        <w:tc>
          <w:tcPr>
            <w:tcW w:type="dxa" w:w="2436"/>
          </w:tcPr>
          <w:p>
            <w:r>
              <w:rPr>
                <w:sz w:val="20"/>
              </w:rPr>
              <w:t>Dès M+3</w:t>
            </w:r>
          </w:p>
        </w:tc>
      </w:tr>
      <w:tr>
        <w:tc>
          <w:tcPr>
            <w:tcW w:type="dxa" w:w="2436"/>
          </w:tcPr>
          <w:p>
            <w:r>
              <w:rPr>
                <w:sz w:val="20"/>
              </w:rPr>
              <w:t>Taux de réussite transferts</w:t>
            </w:r>
          </w:p>
        </w:tc>
        <w:tc>
          <w:tcPr>
            <w:tcW w:type="dxa" w:w="2436"/>
          </w:tcPr>
          <w:p>
            <w:r>
              <w:rPr>
                <w:sz w:val="20"/>
              </w:rPr>
              <w:t>% complétés vs initiés</w:t>
            </w:r>
          </w:p>
        </w:tc>
        <w:tc>
          <w:tcPr>
            <w:tcW w:type="dxa" w:w="2436"/>
          </w:tcPr>
          <w:p>
            <w:r>
              <w:rPr>
                <w:sz w:val="20"/>
              </w:rPr>
              <w:t>≥ 98 %</w:t>
            </w:r>
          </w:p>
        </w:tc>
        <w:tc>
          <w:tcPr>
            <w:tcW w:type="dxa" w:w="2436"/>
          </w:tcPr>
          <w:p>
            <w:r>
              <w:rPr>
                <w:sz w:val="20"/>
              </w:rPr>
              <w:t>Dès M+6</w:t>
            </w:r>
          </w:p>
        </w:tc>
      </w:tr>
      <w:tr>
        <w:tc>
          <w:tcPr>
            <w:tcW w:type="dxa" w:w="2436"/>
          </w:tcPr>
          <w:p>
            <w:r>
              <w:rPr>
                <w:sz w:val="20"/>
              </w:rPr>
              <w:t>NPS produit</w:t>
            </w:r>
          </w:p>
        </w:tc>
        <w:tc>
          <w:tcPr>
            <w:tcW w:type="dxa" w:w="2436"/>
          </w:tcPr>
          <w:p>
            <w:r>
              <w:rPr>
                <w:sz w:val="20"/>
              </w:rPr>
              <w:t>Net Promoter Score</w:t>
            </w:r>
          </w:p>
        </w:tc>
        <w:tc>
          <w:tcPr>
            <w:tcW w:type="dxa" w:w="2436"/>
          </w:tcPr>
          <w:p>
            <w:r>
              <w:rPr>
                <w:sz w:val="20"/>
              </w:rPr>
              <w:t>≥ 55</w:t>
            </w:r>
          </w:p>
        </w:tc>
        <w:tc>
          <w:tcPr>
            <w:tcW w:type="dxa" w:w="2436"/>
          </w:tcPr>
          <w:p>
            <w:r>
              <w:rPr>
                <w:sz w:val="20"/>
              </w:rPr>
              <w:t>M+12</w:t>
            </w:r>
          </w:p>
        </w:tc>
      </w:tr>
      <w:tr>
        <w:tc>
          <w:tcPr>
            <w:tcW w:type="dxa" w:w="2436"/>
          </w:tcPr>
          <w:p>
            <w:r>
              <w:rPr>
                <w:sz w:val="20"/>
              </w:rPr>
              <w:t>Couverture corridors</w:t>
            </w:r>
          </w:p>
        </w:tc>
        <w:tc>
          <w:tcPr>
            <w:tcW w:type="dxa" w:w="2436"/>
          </w:tcPr>
          <w:p>
            <w:r>
              <w:rPr>
                <w:sz w:val="20"/>
              </w:rPr>
              <w:t>Nombre de corridors actifs</w:t>
            </w:r>
          </w:p>
        </w:tc>
        <w:tc>
          <w:tcPr>
            <w:tcW w:type="dxa" w:w="2436"/>
          </w:tcPr>
          <w:p>
            <w:r>
              <w:rPr>
                <w:sz w:val="20"/>
              </w:rPr>
              <w:t>150</w:t>
            </w:r>
          </w:p>
        </w:tc>
        <w:tc>
          <w:tcPr>
            <w:tcW w:type="dxa" w:w="2436"/>
          </w:tcPr>
          <w:p>
            <w:r>
              <w:rPr>
                <w:sz w:val="20"/>
              </w:rPr>
              <w:t>M+18</w:t>
            </w:r>
          </w:p>
        </w:tc>
      </w:tr>
    </w:tbl>
    <w:p>
      <w:pPr>
        <w:pStyle w:val="Heading1"/>
      </w:pPr>
      <w:r>
        <w:rPr>
          <w:color w:val="011645"/>
          <w:sz w:val="40"/>
        </w:rPr>
        <w:t>2. Contexte et problème à résoudre</w:t>
      </w:r>
    </w:p>
    <w:p>
      <w:pPr>
        <w:pStyle w:val="Heading2"/>
      </w:pPr>
      <w:r>
        <w:rPr>
          <w:color w:val="022A6B"/>
          <w:sz w:val="30"/>
        </w:rPr>
        <w:t>2.1 Marché global du transfert international</w:t>
      </w:r>
    </w:p>
    <w:p>
      <w:r>
        <w:rPr>
          <w:b w:val="0"/>
          <w:i w:val="0"/>
        </w:rPr>
        <w:t>Le marché mondial des transferts internationaux personnels (remittances) représente selon la Banque Mondiale 860 milliards USD en 2024, dont environ 100 milliards à destination de l'Afrique subsaharienne. La croissance annuelle moyenne (CAGR) se situe entre 5 et 7 %. Pour les corridors France ↔ Afrique de l'Ouest et France ↔ Afrique Centrale, le volume estimé est de 7 à 9 milliards EUR/an, avec un coût moyen pour l'expéditeur de 5 à 8 % du montant transféré.</w:t>
      </w:r>
    </w:p>
    <w:p>
      <w:pPr>
        <w:pStyle w:val="Heading2"/>
      </w:pPr>
      <w:r>
        <w:rPr>
          <w:color w:val="022A6B"/>
          <w:sz w:val="30"/>
        </w:rPr>
        <w:t>2.2 Problème identifié</w:t>
      </w:r>
    </w:p>
    <w:p>
      <w:pPr>
        <w:pStyle w:val="ListBullet"/>
      </w:pPr>
      <w:r>
        <w:t>Frais excessifs et opaques : 5 à 8 % du montant en moyenne, avec des taux de change cachés.</w:t>
      </w:r>
    </w:p>
    <w:p>
      <w:pPr>
        <w:pStyle w:val="ListBullet"/>
      </w:pPr>
      <w:r>
        <w:t>Faible transparence sur la chaîne de valeur : l'utilisateur ignore qui touche quoi.</w:t>
      </w:r>
    </w:p>
    <w:p>
      <w:pPr>
        <w:pStyle w:val="ListBullet"/>
      </w:pPr>
      <w:r>
        <w:t>Délais de livraison variables et peu prévisibles, surtout en zone rurale.</w:t>
      </w:r>
    </w:p>
    <w:p>
      <w:pPr>
        <w:pStyle w:val="ListBullet"/>
      </w:pPr>
      <w:r>
        <w:t>Mauvaise expérience utilisateur sur mobile : applications datées, vérifications interminables.</w:t>
      </w:r>
    </w:p>
    <w:p>
      <w:pPr>
        <w:pStyle w:val="ListBullet"/>
      </w:pPr>
      <w:r>
        <w:t>Réseau d'agents fragmenté, mal rémunéré, peu fidélisé.</w:t>
      </w:r>
    </w:p>
    <w:p>
      <w:pPr>
        <w:pStyle w:val="ListBullet"/>
      </w:pPr>
      <w:r>
        <w:t>Accès limité à certaines régions / villes secondaires.</w:t>
      </w:r>
    </w:p>
    <w:p>
      <w:pPr>
        <w:pStyle w:val="Heading2"/>
      </w:pPr>
      <w:r>
        <w:rPr>
          <w:color w:val="022A6B"/>
          <w:sz w:val="30"/>
        </w:rPr>
        <w:t>2.3 Solution proposée</w:t>
      </w:r>
    </w:p>
    <w:p>
      <w:r>
        <w:rPr>
          <w:b w:val="0"/>
          <w:i w:val="0"/>
        </w:rPr>
        <w:t>SendFloo introduit un mécanisme d'enchère inversée de 30 secondes : l'expéditeur indique le montant, le pays et la ville de destination. Tous les agents disponibles et accrédités dans le corridor reçoivent l'offre en temps réel (WebSocket). Pendant 30 secondes, ils peuvent proposer leur taux de commission (entre une borne min et max imposée par la règle de gestion plate-forme). L'expéditeur voit en direct chaque offre arriver et choisit l'agent qu'il préfère (souvent, mais pas toujours, le moins cher : la note de l'agent, sa distance, sa langue peuvent influer).</w:t>
      </w:r>
    </w:p>
    <w:p>
      <w:pPr>
        <w:pStyle w:val="Heading1"/>
      </w:pPr>
      <w:r>
        <w:rPr>
          <w:color w:val="011645"/>
          <w:sz w:val="40"/>
        </w:rPr>
        <w:t>3. Périmètre</w:t>
      </w:r>
    </w:p>
    <w:p>
      <w:pPr>
        <w:pStyle w:val="Heading2"/>
      </w:pPr>
      <w:r>
        <w:rPr>
          <w:color w:val="022A6B"/>
          <w:sz w:val="30"/>
        </w:rPr>
        <w:t>3.1 Périmètre fonctionnel</w:t>
      </w:r>
    </w:p>
    <w:p>
      <w:pPr>
        <w:pStyle w:val="ListBullet"/>
      </w:pPr>
      <w:r>
        <w:t>Application mobile SENDBID (iOS + Android) pour les expéditeurs : compte, KYC, wallet FlooMoney, transfert, enchère, suivi.</w:t>
      </w:r>
    </w:p>
    <w:p>
      <w:pPr>
        <w:pStyle w:val="ListBullet"/>
      </w:pPr>
      <w:r>
        <w:t>Application mobile PAYBID (iOS + Android) pour les agents : KYC pro, float multi-devises, enchères entrantes, retraits, QR code.</w:t>
      </w:r>
    </w:p>
    <w:p>
      <w:pPr>
        <w:pStyle w:val="ListBullet"/>
      </w:pPr>
      <w:r>
        <w:t>Site web marketing public (sendfloo.sendbid.app + sendbid.app) : 6 pages (accueil, fonctionnalités, tarifs, FAQ, à propos, téléchargement).</w:t>
      </w:r>
    </w:p>
    <w:p>
      <w:pPr>
        <w:pStyle w:val="ListBullet"/>
      </w:pPr>
      <w:r>
        <w:t>Panneaux web Admin / Super-Admin / Partner-Admin / Agent / Super-Agent : tableaux de bord, gestion utilisateurs, suivi transactions, réconciliation, override commission.</w:t>
      </w:r>
    </w:p>
    <w:p>
      <w:pPr>
        <w:pStyle w:val="ListBullet"/>
      </w:pPr>
      <w:r>
        <w:t>API publique JSON FastAPI : endpoints authentifiés (clients &amp; agents), endpoints publics (corridors, FX), webhooks Stripe / PayPal.</w:t>
      </w:r>
    </w:p>
    <w:p>
      <w:pPr>
        <w:pStyle w:val="ListBullet"/>
      </w:pPr>
      <w:r>
        <w:t>Intégrations paiements : Stripe (carte), PayPal, Mobile Money (MTN, Orange, Wave, Moov).</w:t>
      </w:r>
    </w:p>
    <w:p>
      <w:pPr>
        <w:pStyle w:val="ListBullet"/>
      </w:pPr>
      <w:r>
        <w:t>Système de notifications : push (FCM/APN), email (SendGrid), SMS (Twilio).</w:t>
      </w:r>
    </w:p>
    <w:p>
      <w:pPr>
        <w:pStyle w:val="ListBullet"/>
      </w:pPr>
      <w:r>
        <w:t>Mécanisme d'enchère temps réel : WebSocket, broadcast par corridor, fenêtre 30 secondes, gestion 'next round'.</w:t>
      </w:r>
    </w:p>
    <w:p>
      <w:pPr>
        <w:pStyle w:val="Heading2"/>
      </w:pPr>
      <w:r>
        <w:rPr>
          <w:color w:val="022A6B"/>
          <w:sz w:val="30"/>
        </w:rPr>
        <w:t>3.2 Périmètre géographique</w:t>
      </w:r>
    </w:p>
    <w:p>
      <w:r>
        <w:rPr>
          <w:b w:val="0"/>
          <w:i w:val="0"/>
        </w:rPr>
        <w:t>Le lancement initial cible 6 corridors prioritaires :</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022A6B"/>
          </w:tcPr>
          <w:p>
            <w:r>
              <w:rPr>
                <w:b/>
                <w:color w:val="FFFFFF"/>
                <w:sz w:val="20"/>
              </w:rPr>
              <w:t>Corridor</w:t>
            </w:r>
          </w:p>
        </w:tc>
        <w:tc>
          <w:tcPr>
            <w:tcW w:type="dxa" w:w="3249"/>
            <w:shd w:val="clear" w:color="auto" w:fill="022A6B"/>
          </w:tcPr>
          <w:p>
            <w:r>
              <w:rPr>
                <w:b/>
                <w:color w:val="FFFFFF"/>
                <w:sz w:val="20"/>
              </w:rPr>
              <w:t>Volume estimé / an</w:t>
            </w:r>
          </w:p>
        </w:tc>
        <w:tc>
          <w:tcPr>
            <w:tcW w:type="dxa" w:w="3249"/>
            <w:shd w:val="clear" w:color="auto" w:fill="022A6B"/>
          </w:tcPr>
          <w:p>
            <w:r>
              <w:rPr>
                <w:b/>
                <w:color w:val="FFFFFF"/>
                <w:sz w:val="20"/>
              </w:rPr>
              <w:t>Lancement</w:t>
            </w:r>
          </w:p>
        </w:tc>
      </w:tr>
      <w:tr>
        <w:tc>
          <w:tcPr>
            <w:tcW w:type="dxa" w:w="3249"/>
          </w:tcPr>
          <w:p>
            <w:r>
              <w:rPr>
                <w:sz w:val="20"/>
              </w:rPr>
              <w:t>France → Cameroun</w:t>
            </w:r>
          </w:p>
        </w:tc>
        <w:tc>
          <w:tcPr>
            <w:tcW w:type="dxa" w:w="3249"/>
          </w:tcPr>
          <w:p>
            <w:r>
              <w:rPr>
                <w:sz w:val="20"/>
              </w:rPr>
              <w:t>1,8 Mds €</w:t>
            </w:r>
          </w:p>
        </w:tc>
        <w:tc>
          <w:tcPr>
            <w:tcW w:type="dxa" w:w="3249"/>
          </w:tcPr>
          <w:p>
            <w:r>
              <w:rPr>
                <w:sz w:val="20"/>
              </w:rPr>
              <w:t>M0 (MVP)</w:t>
            </w:r>
          </w:p>
        </w:tc>
      </w:tr>
      <w:tr>
        <w:tc>
          <w:tcPr>
            <w:tcW w:type="dxa" w:w="3249"/>
          </w:tcPr>
          <w:p>
            <w:r>
              <w:rPr>
                <w:sz w:val="20"/>
              </w:rPr>
              <w:t>France → Sénégal</w:t>
            </w:r>
          </w:p>
        </w:tc>
        <w:tc>
          <w:tcPr>
            <w:tcW w:type="dxa" w:w="3249"/>
          </w:tcPr>
          <w:p>
            <w:r>
              <w:rPr>
                <w:sz w:val="20"/>
              </w:rPr>
              <w:t>1,2 Mds €</w:t>
            </w:r>
          </w:p>
        </w:tc>
        <w:tc>
          <w:tcPr>
            <w:tcW w:type="dxa" w:w="3249"/>
          </w:tcPr>
          <w:p>
            <w:r>
              <w:rPr>
                <w:sz w:val="20"/>
              </w:rPr>
              <w:t>M0 (MVP)</w:t>
            </w:r>
          </w:p>
        </w:tc>
      </w:tr>
      <w:tr>
        <w:tc>
          <w:tcPr>
            <w:tcW w:type="dxa" w:w="3249"/>
          </w:tcPr>
          <w:p>
            <w:r>
              <w:rPr>
                <w:sz w:val="20"/>
              </w:rPr>
              <w:t>France → Côte d'Ivoire</w:t>
            </w:r>
          </w:p>
        </w:tc>
        <w:tc>
          <w:tcPr>
            <w:tcW w:type="dxa" w:w="3249"/>
          </w:tcPr>
          <w:p>
            <w:r>
              <w:rPr>
                <w:sz w:val="20"/>
              </w:rPr>
              <w:t>1,1 Mds €</w:t>
            </w:r>
          </w:p>
        </w:tc>
        <w:tc>
          <w:tcPr>
            <w:tcW w:type="dxa" w:w="3249"/>
          </w:tcPr>
          <w:p>
            <w:r>
              <w:rPr>
                <w:sz w:val="20"/>
              </w:rPr>
              <w:t>M+3</w:t>
            </w:r>
          </w:p>
        </w:tc>
      </w:tr>
      <w:tr>
        <w:tc>
          <w:tcPr>
            <w:tcW w:type="dxa" w:w="3249"/>
          </w:tcPr>
          <w:p>
            <w:r>
              <w:rPr>
                <w:sz w:val="20"/>
              </w:rPr>
              <w:t>France → Maroc</w:t>
            </w:r>
          </w:p>
        </w:tc>
        <w:tc>
          <w:tcPr>
            <w:tcW w:type="dxa" w:w="3249"/>
          </w:tcPr>
          <w:p>
            <w:r>
              <w:rPr>
                <w:sz w:val="20"/>
              </w:rPr>
              <w:t>1,5 Mds €</w:t>
            </w:r>
          </w:p>
        </w:tc>
        <w:tc>
          <w:tcPr>
            <w:tcW w:type="dxa" w:w="3249"/>
          </w:tcPr>
          <w:p>
            <w:r>
              <w:rPr>
                <w:sz w:val="20"/>
              </w:rPr>
              <w:t>M+3</w:t>
            </w:r>
          </w:p>
        </w:tc>
      </w:tr>
      <w:tr>
        <w:tc>
          <w:tcPr>
            <w:tcW w:type="dxa" w:w="3249"/>
          </w:tcPr>
          <w:p>
            <w:r>
              <w:rPr>
                <w:sz w:val="20"/>
              </w:rPr>
              <w:t>UK → Nigéria</w:t>
            </w:r>
          </w:p>
        </w:tc>
        <w:tc>
          <w:tcPr>
            <w:tcW w:type="dxa" w:w="3249"/>
          </w:tcPr>
          <w:p>
            <w:r>
              <w:rPr>
                <w:sz w:val="20"/>
              </w:rPr>
              <w:t>2,0 Mds €</w:t>
            </w:r>
          </w:p>
        </w:tc>
        <w:tc>
          <w:tcPr>
            <w:tcW w:type="dxa" w:w="3249"/>
          </w:tcPr>
          <w:p>
            <w:r>
              <w:rPr>
                <w:sz w:val="20"/>
              </w:rPr>
              <w:t>M+6</w:t>
            </w:r>
          </w:p>
        </w:tc>
      </w:tr>
      <w:tr>
        <w:tc>
          <w:tcPr>
            <w:tcW w:type="dxa" w:w="3249"/>
          </w:tcPr>
          <w:p>
            <w:r>
              <w:rPr>
                <w:sz w:val="20"/>
              </w:rPr>
              <w:t>USA → Mexique</w:t>
            </w:r>
          </w:p>
        </w:tc>
        <w:tc>
          <w:tcPr>
            <w:tcW w:type="dxa" w:w="3249"/>
          </w:tcPr>
          <w:p>
            <w:r>
              <w:rPr>
                <w:sz w:val="20"/>
              </w:rPr>
              <w:t>12 Mds €</w:t>
            </w:r>
          </w:p>
        </w:tc>
        <w:tc>
          <w:tcPr>
            <w:tcW w:type="dxa" w:w="3249"/>
          </w:tcPr>
          <w:p>
            <w:r>
              <w:rPr>
                <w:sz w:val="20"/>
              </w:rPr>
              <w:t>M+9 (vague 2)</w:t>
            </w:r>
          </w:p>
        </w:tc>
      </w:tr>
    </w:tbl>
    <w:p>
      <w:pPr>
        <w:pStyle w:val="Heading1"/>
      </w:pPr>
      <w:r>
        <w:rPr>
          <w:color w:val="011645"/>
          <w:sz w:val="40"/>
        </w:rPr>
        <w:t>4. Hors périmètre</w:t>
      </w:r>
    </w:p>
    <w:p>
      <w:r>
        <w:rPr>
          <w:b w:val="0"/>
          <w:i w:val="0"/>
        </w:rPr>
        <w:t>Les éléments suivants ne font PAS partie de la première version livrable :</w:t>
      </w:r>
    </w:p>
    <w:p>
      <w:pPr>
        <w:pStyle w:val="ListBullet"/>
      </w:pPr>
      <w:r>
        <w:t>Cryptomonnaies (BTC, ETH, USDC) — exploration prévue en V2.</w:t>
      </w:r>
    </w:p>
    <w:p>
      <w:pPr>
        <w:pStyle w:val="ListBullet"/>
      </w:pPr>
      <w:r>
        <w:t>Crédit consommation, micro-financement, assurance — produits annexes non-priorisés.</w:t>
      </w:r>
    </w:p>
    <w:p>
      <w:pPr>
        <w:pStyle w:val="ListBullet"/>
      </w:pPr>
      <w:r>
        <w:t>B2B (paiements professionnels, paie internationale) — réservé à une roadmap dédiée.</w:t>
      </w:r>
    </w:p>
    <w:p>
      <w:pPr>
        <w:pStyle w:val="ListBullet"/>
      </w:pPr>
      <w:r>
        <w:t>Cartes bancaires SendFloo physiques — out-of-scope MVP.</w:t>
      </w:r>
    </w:p>
    <w:p>
      <w:pPr>
        <w:pStyle w:val="ListBullet"/>
      </w:pPr>
      <w:r>
        <w:t>Chatbot IA support client (utilisation Live agent uniquement en V1).</w:t>
      </w:r>
    </w:p>
    <w:p>
      <w:pPr>
        <w:pStyle w:val="ListBullet"/>
      </w:pPr>
      <w:r>
        <w:t>API publique pour partenaires tiers — réservé V2 (post-stabilisation).</w:t>
      </w:r>
    </w:p>
    <w:p>
      <w:pPr>
        <w:pStyle w:val="ListBullet"/>
      </w:pPr>
      <w:r>
        <w:t>Compatibilité Windows Phone, BlackBerry, KaiOS.</w:t>
      </w:r>
    </w:p>
    <w:p>
      <w:pPr>
        <w:pStyle w:val="ListBullet"/>
      </w:pPr>
      <w:r>
        <w:t>Site web client (les paiements et transferts se font UNIQUEMENT via app mobile).</w:t>
      </w:r>
    </w:p>
    <w:p>
      <w:pPr>
        <w:pStyle w:val="Heading1"/>
      </w:pPr>
      <w:r>
        <w:rPr>
          <w:color w:val="011645"/>
          <w:sz w:val="40"/>
        </w:rPr>
        <w:t>5. Parties prenantes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022A6B"/>
          </w:tcPr>
          <w:p>
            <w:r>
              <w:rPr>
                <w:b/>
                <w:color w:val="FFFFFF"/>
                <w:sz w:val="20"/>
              </w:rPr>
              <w:t>Rôle</w:t>
            </w:r>
          </w:p>
        </w:tc>
        <w:tc>
          <w:tcPr>
            <w:tcW w:type="dxa" w:w="2436"/>
            <w:shd w:val="clear" w:color="auto" w:fill="022A6B"/>
          </w:tcPr>
          <w:p>
            <w:r>
              <w:rPr>
                <w:b/>
                <w:color w:val="FFFFFF"/>
                <w:sz w:val="20"/>
              </w:rPr>
              <w:t>Identité / Entité</w:t>
            </w:r>
          </w:p>
        </w:tc>
        <w:tc>
          <w:tcPr>
            <w:tcW w:type="dxa" w:w="2436"/>
            <w:shd w:val="clear" w:color="auto" w:fill="022A6B"/>
          </w:tcPr>
          <w:p>
            <w:r>
              <w:rPr>
                <w:b/>
                <w:color w:val="FFFFFF"/>
                <w:sz w:val="20"/>
              </w:rPr>
              <w:t>Responsabilité principale</w:t>
            </w:r>
          </w:p>
        </w:tc>
        <w:tc>
          <w:tcPr>
            <w:tcW w:type="dxa" w:w="2436"/>
            <w:shd w:val="clear" w:color="auto" w:fill="022A6B"/>
          </w:tcPr>
          <w:p>
            <w:r>
              <w:rPr>
                <w:b/>
                <w:color w:val="FFFFFF"/>
                <w:sz w:val="20"/>
              </w:rPr>
              <w:t>Impliqué dans</w:t>
            </w:r>
          </w:p>
        </w:tc>
      </w:tr>
      <w:tr>
        <w:tc>
          <w:tcPr>
            <w:tcW w:type="dxa" w:w="2436"/>
          </w:tcPr>
          <w:p>
            <w:r>
              <w:rPr>
                <w:sz w:val="20"/>
              </w:rPr>
              <w:t>Sponsor exécutif</w:t>
            </w:r>
          </w:p>
        </w:tc>
        <w:tc>
          <w:tcPr>
            <w:tcW w:type="dxa" w:w="2436"/>
          </w:tcPr>
          <w:p>
            <w:r>
              <w:rPr>
                <w:sz w:val="20"/>
              </w:rPr>
              <w:t>Direction Générale</w:t>
            </w:r>
          </w:p>
        </w:tc>
        <w:tc>
          <w:tcPr>
            <w:tcW w:type="dxa" w:w="2436"/>
          </w:tcPr>
          <w:p>
            <w:r>
              <w:rPr>
                <w:sz w:val="20"/>
              </w:rPr>
              <w:t>Vision, arbitrages stratégiques</w:t>
            </w:r>
          </w:p>
        </w:tc>
        <w:tc>
          <w:tcPr>
            <w:tcW w:type="dxa" w:w="2436"/>
          </w:tcPr>
          <w:p>
            <w:r>
              <w:rPr>
                <w:sz w:val="20"/>
              </w:rPr>
              <w:t>Comité de pilotage mensuel</w:t>
            </w:r>
          </w:p>
        </w:tc>
      </w:tr>
      <w:tr>
        <w:tc>
          <w:tcPr>
            <w:tcW w:type="dxa" w:w="2436"/>
          </w:tcPr>
          <w:p>
            <w:r>
              <w:rPr>
                <w:sz w:val="20"/>
              </w:rPr>
              <w:t>Product Owner</w:t>
            </w:r>
          </w:p>
        </w:tc>
        <w:tc>
          <w:tcPr>
            <w:tcW w:type="dxa" w:w="2436"/>
          </w:tcPr>
          <w:p>
            <w:r>
              <w:rPr>
                <w:sz w:val="20"/>
              </w:rPr>
              <w:t>Severin F.</w:t>
            </w:r>
          </w:p>
        </w:tc>
        <w:tc>
          <w:tcPr>
            <w:tcW w:type="dxa" w:w="2436"/>
          </w:tcPr>
          <w:p>
            <w:r>
              <w:rPr>
                <w:sz w:val="20"/>
              </w:rPr>
              <w:t>Roadmap, priorisation backlog</w:t>
            </w:r>
          </w:p>
        </w:tc>
        <w:tc>
          <w:tcPr>
            <w:tcW w:type="dxa" w:w="2436"/>
          </w:tcPr>
          <w:p>
            <w:r>
              <w:rPr>
                <w:sz w:val="20"/>
              </w:rPr>
              <w:t>Sprints, daily, démo</w:t>
            </w:r>
          </w:p>
        </w:tc>
      </w:tr>
      <w:tr>
        <w:tc>
          <w:tcPr>
            <w:tcW w:type="dxa" w:w="2436"/>
          </w:tcPr>
          <w:p>
            <w:r>
              <w:rPr>
                <w:sz w:val="20"/>
              </w:rPr>
              <w:t>CTO / Lead Architecte</w:t>
            </w:r>
          </w:p>
        </w:tc>
        <w:tc>
          <w:tcPr>
            <w:tcW w:type="dxa" w:w="2436"/>
          </w:tcPr>
          <w:p>
            <w:r>
              <w:rPr>
                <w:sz w:val="20"/>
              </w:rPr>
              <w:t>Jules M.</w:t>
            </w:r>
          </w:p>
        </w:tc>
        <w:tc>
          <w:tcPr>
            <w:tcW w:type="dxa" w:w="2436"/>
          </w:tcPr>
          <w:p>
            <w:r>
              <w:rPr>
                <w:sz w:val="20"/>
              </w:rPr>
              <w:t>Architecture, sécurité, build</w:t>
            </w:r>
          </w:p>
        </w:tc>
        <w:tc>
          <w:tcPr>
            <w:tcW w:type="dxa" w:w="2436"/>
          </w:tcPr>
          <w:p>
            <w:r>
              <w:rPr>
                <w:sz w:val="20"/>
              </w:rPr>
              <w:t>Toutes décisions techniques</w:t>
            </w:r>
          </w:p>
        </w:tc>
      </w:tr>
      <w:tr>
        <w:tc>
          <w:tcPr>
            <w:tcW w:type="dxa" w:w="2436"/>
          </w:tcPr>
          <w:p>
            <w:r>
              <w:rPr>
                <w:sz w:val="20"/>
              </w:rPr>
              <w:t>Head of Operations</w:t>
            </w:r>
          </w:p>
        </w:tc>
        <w:tc>
          <w:tcPr>
            <w:tcW w:type="dxa" w:w="2436"/>
          </w:tcPr>
          <w:p>
            <w:r>
              <w:rPr>
                <w:sz w:val="20"/>
              </w:rPr>
              <w:t>Anne K.</w:t>
            </w:r>
          </w:p>
        </w:tc>
        <w:tc>
          <w:tcPr>
            <w:tcW w:type="dxa" w:w="2436"/>
          </w:tcPr>
          <w:p>
            <w:r>
              <w:rPr>
                <w:sz w:val="20"/>
              </w:rPr>
              <w:t>KYC, support, agents</w:t>
            </w:r>
          </w:p>
        </w:tc>
        <w:tc>
          <w:tcPr>
            <w:tcW w:type="dxa" w:w="2436"/>
          </w:tcPr>
          <w:p>
            <w:r>
              <w:rPr>
                <w:sz w:val="20"/>
              </w:rPr>
              <w:t>SOP, gestion réseau agents</w:t>
            </w:r>
          </w:p>
        </w:tc>
      </w:tr>
      <w:tr>
        <w:tc>
          <w:tcPr>
            <w:tcW w:type="dxa" w:w="2436"/>
          </w:tcPr>
          <w:p>
            <w:r>
              <w:rPr>
                <w:sz w:val="20"/>
              </w:rPr>
              <w:t>Head of Compliance</w:t>
            </w:r>
          </w:p>
        </w:tc>
        <w:tc>
          <w:tcPr>
            <w:tcW w:type="dxa" w:w="2436"/>
          </w:tcPr>
          <w:p>
            <w:r>
              <w:rPr>
                <w:sz w:val="20"/>
              </w:rPr>
              <w:t>Marc D.</w:t>
            </w:r>
          </w:p>
        </w:tc>
        <w:tc>
          <w:tcPr>
            <w:tcW w:type="dxa" w:w="2436"/>
          </w:tcPr>
          <w:p>
            <w:r>
              <w:rPr>
                <w:sz w:val="20"/>
              </w:rPr>
              <w:t>AML/CFT, KYC, audit</w:t>
            </w:r>
          </w:p>
        </w:tc>
        <w:tc>
          <w:tcPr>
            <w:tcW w:type="dxa" w:w="2436"/>
          </w:tcPr>
          <w:p>
            <w:r>
              <w:rPr>
                <w:sz w:val="20"/>
              </w:rPr>
              <w:t>Politique conformité, contrôles</w:t>
            </w:r>
          </w:p>
        </w:tc>
      </w:tr>
      <w:tr>
        <w:tc>
          <w:tcPr>
            <w:tcW w:type="dxa" w:w="2436"/>
          </w:tcPr>
          <w:p>
            <w:r>
              <w:rPr>
                <w:sz w:val="20"/>
              </w:rPr>
              <w:t>Head of Marketing</w:t>
            </w:r>
          </w:p>
        </w:tc>
        <w:tc>
          <w:tcPr>
            <w:tcW w:type="dxa" w:w="2436"/>
          </w:tcPr>
          <w:p>
            <w:r>
              <w:rPr>
                <w:sz w:val="20"/>
              </w:rPr>
              <w:t>À recruter</w:t>
            </w:r>
          </w:p>
        </w:tc>
        <w:tc>
          <w:tcPr>
            <w:tcW w:type="dxa" w:w="2436"/>
          </w:tcPr>
          <w:p>
            <w:r>
              <w:rPr>
                <w:sz w:val="20"/>
              </w:rPr>
              <w:t>Acquisition, partenariats</w:t>
            </w:r>
          </w:p>
        </w:tc>
        <w:tc>
          <w:tcPr>
            <w:tcW w:type="dxa" w:w="2436"/>
          </w:tcPr>
          <w:p>
            <w:r>
              <w:rPr>
                <w:sz w:val="20"/>
              </w:rPr>
              <w:t>Lancement corridors</w:t>
            </w:r>
          </w:p>
        </w:tc>
      </w:tr>
      <w:tr>
        <w:tc>
          <w:tcPr>
            <w:tcW w:type="dxa" w:w="2436"/>
          </w:tcPr>
          <w:p>
            <w:r>
              <w:rPr>
                <w:sz w:val="20"/>
              </w:rPr>
              <w:t>DPO (Délégué Protection Données)</w:t>
            </w:r>
          </w:p>
        </w:tc>
        <w:tc>
          <w:tcPr>
            <w:tcW w:type="dxa" w:w="2436"/>
          </w:tcPr>
          <w:p>
            <w:r>
              <w:rPr>
                <w:sz w:val="20"/>
              </w:rPr>
              <w:t>Externe</w:t>
            </w:r>
          </w:p>
        </w:tc>
        <w:tc>
          <w:tcPr>
            <w:tcW w:type="dxa" w:w="2436"/>
          </w:tcPr>
          <w:p>
            <w:r>
              <w:rPr>
                <w:sz w:val="20"/>
              </w:rPr>
              <w:t>RGPD, registre traitements</w:t>
            </w:r>
          </w:p>
        </w:tc>
        <w:tc>
          <w:tcPr>
            <w:tcW w:type="dxa" w:w="2436"/>
          </w:tcPr>
          <w:p>
            <w:r>
              <w:rPr>
                <w:sz w:val="20"/>
              </w:rPr>
              <w:t>Politique données</w:t>
            </w:r>
          </w:p>
        </w:tc>
      </w:tr>
      <w:tr>
        <w:tc>
          <w:tcPr>
            <w:tcW w:type="dxa" w:w="2436"/>
          </w:tcPr>
          <w:p>
            <w:r>
              <w:rPr>
                <w:sz w:val="20"/>
              </w:rPr>
              <w:t>Investisseurs / Board</w:t>
            </w:r>
          </w:p>
        </w:tc>
        <w:tc>
          <w:tcPr>
            <w:tcW w:type="dxa" w:w="2436"/>
          </w:tcPr>
          <w:p>
            <w:r>
              <w:rPr>
                <w:sz w:val="20"/>
              </w:rPr>
              <w:t>Fonds + Business Angels</w:t>
            </w:r>
          </w:p>
        </w:tc>
        <w:tc>
          <w:tcPr>
            <w:tcW w:type="dxa" w:w="2436"/>
          </w:tcPr>
          <w:p>
            <w:r>
              <w:rPr>
                <w:sz w:val="20"/>
              </w:rPr>
              <w:t>Validation budget, jalons</w:t>
            </w:r>
          </w:p>
        </w:tc>
        <w:tc>
          <w:tcPr>
            <w:tcW w:type="dxa" w:w="2436"/>
          </w:tcPr>
          <w:p>
            <w:r>
              <w:rPr>
                <w:sz w:val="20"/>
              </w:rPr>
              <w:t>Reporting trimestriel</w:t>
            </w:r>
          </w:p>
        </w:tc>
      </w:tr>
      <w:tr>
        <w:tc>
          <w:tcPr>
            <w:tcW w:type="dxa" w:w="2436"/>
          </w:tcPr>
          <w:p>
            <w:r>
              <w:rPr>
                <w:sz w:val="20"/>
              </w:rPr>
              <w:t>Partenaires paiements</w:t>
            </w:r>
          </w:p>
        </w:tc>
        <w:tc>
          <w:tcPr>
            <w:tcW w:type="dxa" w:w="2436"/>
          </w:tcPr>
          <w:p>
            <w:r>
              <w:rPr>
                <w:sz w:val="20"/>
              </w:rPr>
              <w:t>Stripe, PayPal, MTN, Orange</w:t>
            </w:r>
          </w:p>
        </w:tc>
        <w:tc>
          <w:tcPr>
            <w:tcW w:type="dxa" w:w="2436"/>
          </w:tcPr>
          <w:p>
            <w:r>
              <w:rPr>
                <w:sz w:val="20"/>
              </w:rPr>
              <w:t>Acquisition fonds, KYC reverse</w:t>
            </w:r>
          </w:p>
        </w:tc>
        <w:tc>
          <w:tcPr>
            <w:tcW w:type="dxa" w:w="2436"/>
          </w:tcPr>
          <w:p>
            <w:r>
              <w:rPr>
                <w:sz w:val="20"/>
              </w:rPr>
              <w:t>Intégration, SLA</w:t>
            </w:r>
          </w:p>
        </w:tc>
      </w:tr>
      <w:tr>
        <w:tc>
          <w:tcPr>
            <w:tcW w:type="dxa" w:w="2436"/>
          </w:tcPr>
          <w:p>
            <w:r>
              <w:rPr>
                <w:sz w:val="20"/>
              </w:rPr>
              <w:t>Régulateur EU</w:t>
            </w:r>
          </w:p>
        </w:tc>
        <w:tc>
          <w:tcPr>
            <w:tcW w:type="dxa" w:w="2436"/>
          </w:tcPr>
          <w:p>
            <w:r>
              <w:rPr>
                <w:sz w:val="20"/>
              </w:rPr>
              <w:t>ACPR (France) / BCEAO (zone UEMOA)</w:t>
            </w:r>
          </w:p>
        </w:tc>
        <w:tc>
          <w:tcPr>
            <w:tcW w:type="dxa" w:w="2436"/>
          </w:tcPr>
          <w:p>
            <w:r>
              <w:rPr>
                <w:sz w:val="20"/>
              </w:rPr>
              <w:t>Agrément EMI/PSP</w:t>
            </w:r>
          </w:p>
        </w:tc>
        <w:tc>
          <w:tcPr>
            <w:tcW w:type="dxa" w:w="2436"/>
          </w:tcPr>
          <w:p>
            <w:r>
              <w:rPr>
                <w:sz w:val="20"/>
              </w:rPr>
              <w:t>Dossiers réglementaires</w:t>
            </w:r>
          </w:p>
        </w:tc>
      </w:tr>
      <w:tr>
        <w:tc>
          <w:tcPr>
            <w:tcW w:type="dxa" w:w="2436"/>
          </w:tcPr>
          <w:p>
            <w:r>
              <w:rPr>
                <w:sz w:val="20"/>
              </w:rPr>
              <w:t>Auditeur externe</w:t>
            </w:r>
          </w:p>
        </w:tc>
        <w:tc>
          <w:tcPr>
            <w:tcW w:type="dxa" w:w="2436"/>
          </w:tcPr>
          <w:p>
            <w:r>
              <w:rPr>
                <w:sz w:val="20"/>
              </w:rPr>
              <w:t>Cabinet à désigner</w:t>
            </w:r>
          </w:p>
        </w:tc>
        <w:tc>
          <w:tcPr>
            <w:tcW w:type="dxa" w:w="2436"/>
          </w:tcPr>
          <w:p>
            <w:r>
              <w:rPr>
                <w:sz w:val="20"/>
              </w:rPr>
              <w:t>Audit annuel comptes &amp; sécurité</w:t>
            </w:r>
          </w:p>
        </w:tc>
        <w:tc>
          <w:tcPr>
            <w:tcW w:type="dxa" w:w="2436"/>
          </w:tcPr>
          <w:p>
            <w:r>
              <w:rPr>
                <w:sz w:val="20"/>
              </w:rPr>
              <w:t>Audit annuel</w:t>
            </w:r>
          </w:p>
        </w:tc>
      </w:tr>
    </w:tbl>
    <w:p>
      <w:pPr>
        <w:pStyle w:val="Heading1"/>
      </w:pPr>
      <w:r>
        <w:rPr>
          <w:color w:val="011645"/>
          <w:sz w:val="40"/>
        </w:rPr>
        <w:t>6. Hypothèses</w:t>
      </w:r>
    </w:p>
    <w:p>
      <w:pPr>
        <w:pStyle w:val="ListBullet"/>
      </w:pPr>
      <w:r>
        <w:t>L'agrément EMI (ou contrat de partenariat avec un EMI existant) est obtenu avant la mise en production.</w:t>
      </w:r>
    </w:p>
    <w:p>
      <w:pPr>
        <w:pStyle w:val="ListBullet"/>
      </w:pPr>
      <w:r>
        <w:t>Les partenaires Mobile Money valident l'intégration sandbox puis production dans les 90 jours.</w:t>
      </w:r>
    </w:p>
    <w:p>
      <w:pPr>
        <w:pStyle w:val="ListBullet"/>
      </w:pPr>
      <w:r>
        <w:t>Les flux de change EUR / XAF / XOF / NGN restent dans la fourchette habituelle (volatilité &lt; ±5 %) durant la phase de lancement.</w:t>
      </w:r>
    </w:p>
    <w:p>
      <w:pPr>
        <w:pStyle w:val="ListBullet"/>
      </w:pPr>
      <w:r>
        <w:t>Le coût d'acquisition utilisateur (CAC) reste inférieur à 18 € par utilisateur activé.</w:t>
      </w:r>
    </w:p>
    <w:p>
      <w:pPr>
        <w:pStyle w:val="ListBullet"/>
      </w:pPr>
      <w:r>
        <w:t>Le réseau d'agents pilote (60 agents en zone Yaoundé/Douala/Dakar) accepte les conditions tarifaires plate-forme.</w:t>
      </w:r>
    </w:p>
    <w:p>
      <w:pPr>
        <w:pStyle w:val="ListBullet"/>
      </w:pPr>
      <w:r>
        <w:t>Les utilisateurs cibles disposent d'un smartphone sous iOS ≥ 13 ou Android ≥ 8.0.</w:t>
      </w:r>
    </w:p>
    <w:p>
      <w:pPr>
        <w:pStyle w:val="ListBullet"/>
      </w:pPr>
      <w:r>
        <w:t>La connectivité réseau est suffisamment stable pour supporter les WebSocket d'enchère en zone urbaine et péri-urbaine.</w:t>
      </w:r>
    </w:p>
    <w:p>
      <w:pPr>
        <w:pStyle w:val="Heading1"/>
      </w:pPr>
      <w:r>
        <w:rPr>
          <w:color w:val="011645"/>
          <w:sz w:val="40"/>
        </w:rPr>
        <w:t>7. Contraintes</w:t>
      </w:r>
    </w:p>
    <w:p>
      <w:pPr>
        <w:pStyle w:val="Heading2"/>
      </w:pPr>
      <w:r>
        <w:rPr>
          <w:color w:val="022A6B"/>
          <w:sz w:val="30"/>
        </w:rPr>
        <w:t>7.1 Contraintes réglementaires</w:t>
      </w:r>
    </w:p>
    <w:p>
      <w:pPr>
        <w:pStyle w:val="ListBullet"/>
      </w:pPr>
      <w:r>
        <w:t>Respect Directive DSP2 (UE) + Loi 2024-364 sur les services de paiement français.</w:t>
      </w:r>
    </w:p>
    <w:p>
      <w:pPr>
        <w:pStyle w:val="ListBullet"/>
      </w:pPr>
      <w:r>
        <w:t>KYC graduel 3 niveaux selon volume : Tier 1 (basique, ≤ 500 €/jour), Tier 2 (ID validé, ≤ 5 000 €/jour), Tier 3 (justificatifs complets, ≤ 20 000 €/jour).</w:t>
      </w:r>
    </w:p>
    <w:p>
      <w:pPr>
        <w:pStyle w:val="ListBullet"/>
      </w:pPr>
      <w:r>
        <w:t>Conservation documentaire AML/CFT : 5 ans après dernière transaction.</w:t>
      </w:r>
    </w:p>
    <w:p>
      <w:pPr>
        <w:pStyle w:val="ListBullet"/>
      </w:pPr>
      <w:r>
        <w:t>Déclaration TRACFIN obligatoire pour toute opération suspecte.</w:t>
      </w:r>
    </w:p>
    <w:p>
      <w:pPr>
        <w:pStyle w:val="ListBullet"/>
      </w:pPr>
      <w:r>
        <w:t>RGPD : DPO désigné, registre des traitements, droit à l'effacement implémenté.</w:t>
      </w:r>
    </w:p>
    <w:p>
      <w:pPr>
        <w:pStyle w:val="Heading2"/>
      </w:pPr>
      <w:r>
        <w:rPr>
          <w:color w:val="022A6B"/>
          <w:sz w:val="30"/>
        </w:rPr>
        <w:t>7.2 Contraintes techniques</w:t>
      </w:r>
    </w:p>
    <w:p>
      <w:pPr>
        <w:pStyle w:val="ListBullet"/>
      </w:pPr>
      <w:r>
        <w:t>Délai d'enchère figé à 30 secondes (UX et règle métier).</w:t>
      </w:r>
    </w:p>
    <w:p>
      <w:pPr>
        <w:pStyle w:val="ListBullet"/>
      </w:pPr>
      <w:r>
        <w:t>Backend hébergé en UE (Frankfurt ou Paris) pour la conformité RGPD.</w:t>
      </w:r>
    </w:p>
    <w:p>
      <w:pPr>
        <w:pStyle w:val="ListBullet"/>
      </w:pPr>
      <w:r>
        <w:t>Backup MongoDB quotidien avec rétention 14 jours minimum + externalisation S3 chiffrée hebdomadaire.</w:t>
      </w:r>
    </w:p>
    <w:p>
      <w:pPr>
        <w:pStyle w:val="ListBullet"/>
      </w:pPr>
      <w:r>
        <w:t>Authentification multi-facteur obligatoire pour tout compte admin / agent / super-agent.</w:t>
      </w:r>
    </w:p>
    <w:p>
      <w:pPr>
        <w:pStyle w:val="ListBullet"/>
      </w:pPr>
      <w:r>
        <w:t>Tous les flux applicatifs en HTTPS / TLS 1.3 minimum.</w:t>
      </w:r>
    </w:p>
    <w:p>
      <w:pPr>
        <w:pStyle w:val="Heading2"/>
      </w:pPr>
      <w:r>
        <w:rPr>
          <w:color w:val="022A6B"/>
          <w:sz w:val="30"/>
        </w:rPr>
        <w:t>7.3 Contraintes budgétaires</w:t>
      </w:r>
    </w:p>
    <w:p>
      <w:r>
        <w:rPr>
          <w:b w:val="0"/>
          <w:i w:val="0"/>
        </w:rPr>
        <w:t>Budget plafonné à 1,2 M€ pour les 18 premiers mois (build + lancement), tel que validé par le Comité Exécutif.</w:t>
      </w:r>
    </w:p>
    <w:p>
      <w:pPr>
        <w:pStyle w:val="Heading1"/>
      </w:pPr>
      <w:r>
        <w:rPr>
          <w:color w:val="011645"/>
          <w:sz w:val="40"/>
        </w:rPr>
        <w:t>8. Budget estimatif</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val="clear" w:color="auto" w:fill="022A6B"/>
          </w:tcPr>
          <w:p>
            <w:r>
              <w:rPr>
                <w:b/>
                <w:color w:val="FFFFFF"/>
                <w:sz w:val="20"/>
              </w:rPr>
              <w:t>Poste</w:t>
            </w:r>
          </w:p>
        </w:tc>
        <w:tc>
          <w:tcPr>
            <w:tcW w:type="dxa" w:w="2436"/>
            <w:shd w:val="clear" w:color="auto" w:fill="022A6B"/>
          </w:tcPr>
          <w:p>
            <w:r>
              <w:rPr>
                <w:b/>
                <w:color w:val="FFFFFF"/>
                <w:sz w:val="20"/>
              </w:rPr>
              <w:t>Détail</w:t>
            </w:r>
          </w:p>
        </w:tc>
        <w:tc>
          <w:tcPr>
            <w:tcW w:type="dxa" w:w="2436"/>
            <w:shd w:val="clear" w:color="auto" w:fill="022A6B"/>
          </w:tcPr>
          <w:p>
            <w:r>
              <w:rPr>
                <w:b/>
                <w:color w:val="FFFFFF"/>
                <w:sz w:val="20"/>
              </w:rPr>
              <w:t>Coût (€)</w:t>
            </w:r>
          </w:p>
        </w:tc>
        <w:tc>
          <w:tcPr>
            <w:tcW w:type="dxa" w:w="2436"/>
            <w:shd w:val="clear" w:color="auto" w:fill="022A6B"/>
          </w:tcPr>
          <w:p>
            <w:r>
              <w:rPr>
                <w:b/>
                <w:color w:val="FFFFFF"/>
                <w:sz w:val="20"/>
              </w:rPr>
              <w:t>% total</w:t>
            </w:r>
          </w:p>
        </w:tc>
      </w:tr>
      <w:tr>
        <w:tc>
          <w:tcPr>
            <w:tcW w:type="dxa" w:w="2436"/>
          </w:tcPr>
          <w:p>
            <w:r>
              <w:rPr>
                <w:sz w:val="20"/>
              </w:rPr>
              <w:t>Équipe produit &amp; tech (CDI + freelance)</w:t>
            </w:r>
          </w:p>
        </w:tc>
        <w:tc>
          <w:tcPr>
            <w:tcW w:type="dxa" w:w="2436"/>
          </w:tcPr>
          <w:p>
            <w:r>
              <w:rPr>
                <w:sz w:val="20"/>
              </w:rPr>
              <w:t>12 personnes en moyenne sur 18 mois</w:t>
            </w:r>
          </w:p>
        </w:tc>
        <w:tc>
          <w:tcPr>
            <w:tcW w:type="dxa" w:w="2436"/>
          </w:tcPr>
          <w:p>
            <w:r>
              <w:rPr>
                <w:sz w:val="20"/>
              </w:rPr>
              <w:t>780 000</w:t>
            </w:r>
          </w:p>
        </w:tc>
        <w:tc>
          <w:tcPr>
            <w:tcW w:type="dxa" w:w="2436"/>
          </w:tcPr>
          <w:p>
            <w:r>
              <w:rPr>
                <w:sz w:val="20"/>
              </w:rPr>
              <w:t>65 %</w:t>
            </w:r>
          </w:p>
        </w:tc>
      </w:tr>
      <w:tr>
        <w:tc>
          <w:tcPr>
            <w:tcW w:type="dxa" w:w="2436"/>
          </w:tcPr>
          <w:p>
            <w:r>
              <w:rPr>
                <w:sz w:val="20"/>
              </w:rPr>
              <w:t>Infrastructure cloud + monitoring</w:t>
            </w:r>
          </w:p>
        </w:tc>
        <w:tc>
          <w:tcPr>
            <w:tcW w:type="dxa" w:w="2436"/>
          </w:tcPr>
          <w:p>
            <w:r>
              <w:rPr>
                <w:sz w:val="20"/>
              </w:rPr>
              <w:t>VPS, MongoDB Atlas, CDN, monitoring</w:t>
            </w:r>
          </w:p>
        </w:tc>
        <w:tc>
          <w:tcPr>
            <w:tcW w:type="dxa" w:w="2436"/>
          </w:tcPr>
          <w:p>
            <w:r>
              <w:rPr>
                <w:sz w:val="20"/>
              </w:rPr>
              <w:t>48 000</w:t>
            </w:r>
          </w:p>
        </w:tc>
        <w:tc>
          <w:tcPr>
            <w:tcW w:type="dxa" w:w="2436"/>
          </w:tcPr>
          <w:p>
            <w:r>
              <w:rPr>
                <w:sz w:val="20"/>
              </w:rPr>
              <w:t>4 %</w:t>
            </w:r>
          </w:p>
        </w:tc>
      </w:tr>
      <w:tr>
        <w:tc>
          <w:tcPr>
            <w:tcW w:type="dxa" w:w="2436"/>
          </w:tcPr>
          <w:p>
            <w:r>
              <w:rPr>
                <w:sz w:val="20"/>
              </w:rPr>
              <w:t>Licences logicielles (SaaS)</w:t>
            </w:r>
          </w:p>
        </w:tc>
        <w:tc>
          <w:tcPr>
            <w:tcW w:type="dxa" w:w="2436"/>
          </w:tcPr>
          <w:p>
            <w:r>
              <w:rPr>
                <w:sz w:val="20"/>
              </w:rPr>
              <w:t>Stripe fees, SendGrid, Twilio, Github, Linear</w:t>
            </w:r>
          </w:p>
        </w:tc>
        <w:tc>
          <w:tcPr>
            <w:tcW w:type="dxa" w:w="2436"/>
          </w:tcPr>
          <w:p>
            <w:r>
              <w:rPr>
                <w:sz w:val="20"/>
              </w:rPr>
              <w:t>32 000</w:t>
            </w:r>
          </w:p>
        </w:tc>
        <w:tc>
          <w:tcPr>
            <w:tcW w:type="dxa" w:w="2436"/>
          </w:tcPr>
          <w:p>
            <w:r>
              <w:rPr>
                <w:sz w:val="20"/>
              </w:rPr>
              <w:t>2,7 %</w:t>
            </w:r>
          </w:p>
        </w:tc>
      </w:tr>
      <w:tr>
        <w:tc>
          <w:tcPr>
            <w:tcW w:type="dxa" w:w="2436"/>
          </w:tcPr>
          <w:p>
            <w:r>
              <w:rPr>
                <w:sz w:val="20"/>
              </w:rPr>
              <w:t>Agrément EMI + frais juridiques</w:t>
            </w:r>
          </w:p>
        </w:tc>
        <w:tc>
          <w:tcPr>
            <w:tcW w:type="dxa" w:w="2436"/>
          </w:tcPr>
          <w:p>
            <w:r>
              <w:rPr>
                <w:sz w:val="20"/>
              </w:rPr>
              <w:t>Dépôt + cabinet + Compliance Officer</w:t>
            </w:r>
          </w:p>
        </w:tc>
        <w:tc>
          <w:tcPr>
            <w:tcW w:type="dxa" w:w="2436"/>
          </w:tcPr>
          <w:p>
            <w:r>
              <w:rPr>
                <w:sz w:val="20"/>
              </w:rPr>
              <w:t>120 000</w:t>
            </w:r>
          </w:p>
        </w:tc>
        <w:tc>
          <w:tcPr>
            <w:tcW w:type="dxa" w:w="2436"/>
          </w:tcPr>
          <w:p>
            <w:r>
              <w:rPr>
                <w:sz w:val="20"/>
              </w:rPr>
              <w:t>10 %</w:t>
            </w:r>
          </w:p>
        </w:tc>
      </w:tr>
      <w:tr>
        <w:tc>
          <w:tcPr>
            <w:tcW w:type="dxa" w:w="2436"/>
          </w:tcPr>
          <w:p>
            <w:r>
              <w:rPr>
                <w:sz w:val="20"/>
              </w:rPr>
              <w:t>Marketing &amp; acquisition</w:t>
            </w:r>
          </w:p>
        </w:tc>
        <w:tc>
          <w:tcPr>
            <w:tcW w:type="dxa" w:w="2436"/>
          </w:tcPr>
          <w:p>
            <w:r>
              <w:rPr>
                <w:sz w:val="20"/>
              </w:rPr>
              <w:t>Ads, influencers, événements, contenu</w:t>
            </w:r>
          </w:p>
        </w:tc>
        <w:tc>
          <w:tcPr>
            <w:tcW w:type="dxa" w:w="2436"/>
          </w:tcPr>
          <w:p>
            <w:r>
              <w:rPr>
                <w:sz w:val="20"/>
              </w:rPr>
              <w:t>150 000</w:t>
            </w:r>
          </w:p>
        </w:tc>
        <w:tc>
          <w:tcPr>
            <w:tcW w:type="dxa" w:w="2436"/>
          </w:tcPr>
          <w:p>
            <w:r>
              <w:rPr>
                <w:sz w:val="20"/>
              </w:rPr>
              <w:t>12,5 %</w:t>
            </w:r>
          </w:p>
        </w:tc>
      </w:tr>
      <w:tr>
        <w:tc>
          <w:tcPr>
            <w:tcW w:type="dxa" w:w="2436"/>
          </w:tcPr>
          <w:p>
            <w:r>
              <w:rPr>
                <w:sz w:val="20"/>
              </w:rPr>
              <w:t>Réserve (10 % imprévus)</w:t>
            </w:r>
          </w:p>
        </w:tc>
        <w:tc>
          <w:tcPr>
            <w:tcW w:type="dxa" w:w="2436"/>
          </w:tcPr>
          <w:p>
            <w:r>
              <w:rPr>
                <w:sz w:val="20"/>
              </w:rPr>
              <w:t>Buffer projet</w:t>
            </w:r>
          </w:p>
        </w:tc>
        <w:tc>
          <w:tcPr>
            <w:tcW w:type="dxa" w:w="2436"/>
          </w:tcPr>
          <w:p>
            <w:r>
              <w:rPr>
                <w:sz w:val="20"/>
              </w:rPr>
              <w:t>70 000</w:t>
            </w:r>
          </w:p>
        </w:tc>
        <w:tc>
          <w:tcPr>
            <w:tcW w:type="dxa" w:w="2436"/>
          </w:tcPr>
          <w:p>
            <w:r>
              <w:rPr>
                <w:sz w:val="20"/>
              </w:rPr>
              <w:t>5,8 %</w:t>
            </w:r>
          </w:p>
        </w:tc>
      </w:tr>
      <w:tr>
        <w:tc>
          <w:tcPr>
            <w:tcW w:type="dxa" w:w="2436"/>
          </w:tcPr>
          <w:p>
            <w:r>
              <w:rPr>
                <w:sz w:val="20"/>
              </w:rPr>
              <w:t>TOTAL</w:t>
            </w:r>
          </w:p>
        </w:tc>
        <w:tc>
          <w:tcPr>
            <w:tcW w:type="dxa" w:w="2436"/>
          </w:tcPr>
          <w:p>
            <w:r>
              <w:rPr>
                <w:sz w:val="20"/>
              </w:rPr>
              <w:t>—</w:t>
            </w:r>
          </w:p>
        </w:tc>
        <w:tc>
          <w:tcPr>
            <w:tcW w:type="dxa" w:w="2436"/>
          </w:tcPr>
          <w:p>
            <w:r>
              <w:rPr>
                <w:sz w:val="20"/>
              </w:rPr>
              <w:t>1 200 000</w:t>
            </w:r>
          </w:p>
        </w:tc>
        <w:tc>
          <w:tcPr>
            <w:tcW w:type="dxa" w:w="2436"/>
          </w:tcPr>
          <w:p>
            <w:r>
              <w:rPr>
                <w:sz w:val="20"/>
              </w:rPr>
              <w:t>100 %</w:t>
            </w:r>
          </w:p>
        </w:tc>
      </w:tr>
    </w:tbl>
    <w:p>
      <w:pPr>
        <w:pStyle w:val="Heading1"/>
      </w:pPr>
      <w:r>
        <w:rPr>
          <w:color w:val="011645"/>
          <w:sz w:val="40"/>
        </w:rPr>
        <w:t>9. Planning macro</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022A6B"/>
          </w:tcPr>
          <w:p>
            <w:r>
              <w:rPr>
                <w:b/>
                <w:color w:val="FFFFFF"/>
                <w:sz w:val="20"/>
              </w:rPr>
              <w:t>Phase</w:t>
            </w:r>
          </w:p>
        </w:tc>
        <w:tc>
          <w:tcPr>
            <w:tcW w:type="dxa" w:w="3249"/>
            <w:shd w:val="clear" w:color="auto" w:fill="022A6B"/>
          </w:tcPr>
          <w:p>
            <w:r>
              <w:rPr>
                <w:b/>
                <w:color w:val="FFFFFF"/>
                <w:sz w:val="20"/>
              </w:rPr>
              <w:t>Jalons</w:t>
            </w:r>
          </w:p>
        </w:tc>
        <w:tc>
          <w:tcPr>
            <w:tcW w:type="dxa" w:w="3249"/>
            <w:shd w:val="clear" w:color="auto" w:fill="022A6B"/>
          </w:tcPr>
          <w:p>
            <w:r>
              <w:rPr>
                <w:b/>
                <w:color w:val="FFFFFF"/>
                <w:sz w:val="20"/>
              </w:rPr>
              <w:t>Date estimée</w:t>
            </w:r>
          </w:p>
        </w:tc>
      </w:tr>
      <w:tr>
        <w:tc>
          <w:tcPr>
            <w:tcW w:type="dxa" w:w="3249"/>
          </w:tcPr>
          <w:p>
            <w:r>
              <w:rPr>
                <w:sz w:val="20"/>
              </w:rPr>
              <w:t>Phase 0 — Cadrage &amp; spécifications</w:t>
            </w:r>
          </w:p>
        </w:tc>
        <w:tc>
          <w:tcPr>
            <w:tcW w:type="dxa" w:w="3249"/>
          </w:tcPr>
          <w:p>
            <w:r>
              <w:rPr>
                <w:sz w:val="20"/>
              </w:rPr>
              <w:t>Note de cadrage, business case validés</w:t>
            </w:r>
          </w:p>
        </w:tc>
        <w:tc>
          <w:tcPr>
            <w:tcW w:type="dxa" w:w="3249"/>
          </w:tcPr>
          <w:p>
            <w:r>
              <w:rPr>
                <w:sz w:val="20"/>
              </w:rPr>
              <w:t>M-1</w:t>
            </w:r>
          </w:p>
        </w:tc>
      </w:tr>
      <w:tr>
        <w:tc>
          <w:tcPr>
            <w:tcW w:type="dxa" w:w="3249"/>
          </w:tcPr>
          <w:p>
            <w:r>
              <w:rPr>
                <w:sz w:val="20"/>
              </w:rPr>
              <w:t>Phase 1 — Build MVP (mobile + backend)</w:t>
            </w:r>
          </w:p>
        </w:tc>
        <w:tc>
          <w:tcPr>
            <w:tcW w:type="dxa" w:w="3249"/>
          </w:tcPr>
          <w:p>
            <w:r>
              <w:rPr>
                <w:sz w:val="20"/>
              </w:rPr>
              <w:t>Comptes, KYC Tier 1, wallet, transfert simple</w:t>
            </w:r>
          </w:p>
        </w:tc>
        <w:tc>
          <w:tcPr>
            <w:tcW w:type="dxa" w:w="3249"/>
          </w:tcPr>
          <w:p>
            <w:r>
              <w:rPr>
                <w:sz w:val="20"/>
              </w:rPr>
              <w:t>M+3</w:t>
            </w:r>
          </w:p>
        </w:tc>
      </w:tr>
      <w:tr>
        <w:tc>
          <w:tcPr>
            <w:tcW w:type="dxa" w:w="3249"/>
          </w:tcPr>
          <w:p>
            <w:r>
              <w:rPr>
                <w:sz w:val="20"/>
              </w:rPr>
              <w:t>Phase 2 — Enchère temps réel + agents</w:t>
            </w:r>
          </w:p>
        </w:tc>
        <w:tc>
          <w:tcPr>
            <w:tcW w:type="dxa" w:w="3249"/>
          </w:tcPr>
          <w:p>
            <w:r>
              <w:rPr>
                <w:sz w:val="20"/>
              </w:rPr>
              <w:t>WebSocket, panel agent, intégration Mobile Money</w:t>
            </w:r>
          </w:p>
        </w:tc>
        <w:tc>
          <w:tcPr>
            <w:tcW w:type="dxa" w:w="3249"/>
          </w:tcPr>
          <w:p>
            <w:r>
              <w:rPr>
                <w:sz w:val="20"/>
              </w:rPr>
              <w:t>M+6</w:t>
            </w:r>
          </w:p>
        </w:tc>
      </w:tr>
      <w:tr>
        <w:tc>
          <w:tcPr>
            <w:tcW w:type="dxa" w:w="3249"/>
          </w:tcPr>
          <w:p>
            <w:r>
              <w:rPr>
                <w:sz w:val="20"/>
              </w:rPr>
              <w:t>Phase 3 — Beta fermée corridor France ↔ Cameroun</w:t>
            </w:r>
          </w:p>
        </w:tc>
        <w:tc>
          <w:tcPr>
            <w:tcW w:type="dxa" w:w="3249"/>
          </w:tcPr>
          <w:p>
            <w:r>
              <w:rPr>
                <w:sz w:val="20"/>
              </w:rPr>
              <w:t>60 agents pilotes, 500 clients testeurs</w:t>
            </w:r>
          </w:p>
        </w:tc>
        <w:tc>
          <w:tcPr>
            <w:tcW w:type="dxa" w:w="3249"/>
          </w:tcPr>
          <w:p>
            <w:r>
              <w:rPr>
                <w:sz w:val="20"/>
              </w:rPr>
              <w:t>M+8</w:t>
            </w:r>
          </w:p>
        </w:tc>
      </w:tr>
      <w:tr>
        <w:tc>
          <w:tcPr>
            <w:tcW w:type="dxa" w:w="3249"/>
          </w:tcPr>
          <w:p>
            <w:r>
              <w:rPr>
                <w:sz w:val="20"/>
              </w:rPr>
              <w:t>Phase 4 — Lancement public 2 corridors</w:t>
            </w:r>
          </w:p>
        </w:tc>
        <w:tc>
          <w:tcPr>
            <w:tcW w:type="dxa" w:w="3249"/>
          </w:tcPr>
          <w:p>
            <w:r>
              <w:rPr>
                <w:sz w:val="20"/>
              </w:rPr>
              <w:t>Marketing, ads, SEO, partenariats</w:t>
            </w:r>
          </w:p>
        </w:tc>
        <w:tc>
          <w:tcPr>
            <w:tcW w:type="dxa" w:w="3249"/>
          </w:tcPr>
          <w:p>
            <w:r>
              <w:rPr>
                <w:sz w:val="20"/>
              </w:rPr>
              <w:t>M+10</w:t>
            </w:r>
          </w:p>
        </w:tc>
      </w:tr>
      <w:tr>
        <w:tc>
          <w:tcPr>
            <w:tcW w:type="dxa" w:w="3249"/>
          </w:tcPr>
          <w:p>
            <w:r>
              <w:rPr>
                <w:sz w:val="20"/>
              </w:rPr>
              <w:t>Phase 5 — Scale 6 corridors + V2 features</w:t>
            </w:r>
          </w:p>
        </w:tc>
        <w:tc>
          <w:tcPr>
            <w:tcW w:type="dxa" w:w="3249"/>
          </w:tcPr>
          <w:p>
            <w:r>
              <w:rPr>
                <w:sz w:val="20"/>
              </w:rPr>
              <w:t>Expansion géo, programme fidélité</w:t>
            </w:r>
          </w:p>
        </w:tc>
        <w:tc>
          <w:tcPr>
            <w:tcW w:type="dxa" w:w="3249"/>
          </w:tcPr>
          <w:p>
            <w:r>
              <w:rPr>
                <w:sz w:val="20"/>
              </w:rPr>
              <w:t>M+15</w:t>
            </w:r>
          </w:p>
        </w:tc>
      </w:tr>
      <w:tr>
        <w:tc>
          <w:tcPr>
            <w:tcW w:type="dxa" w:w="3249"/>
          </w:tcPr>
          <w:p>
            <w:r>
              <w:rPr>
                <w:sz w:val="20"/>
              </w:rPr>
              <w:t>Phase 6 — Audit &amp; agrément EMI propre</w:t>
            </w:r>
          </w:p>
        </w:tc>
        <w:tc>
          <w:tcPr>
            <w:tcW w:type="dxa" w:w="3249"/>
          </w:tcPr>
          <w:p>
            <w:r>
              <w:rPr>
                <w:sz w:val="20"/>
              </w:rPr>
              <w:t>Indépendance opérateur paiement</w:t>
            </w:r>
          </w:p>
        </w:tc>
        <w:tc>
          <w:tcPr>
            <w:tcW w:type="dxa" w:w="3249"/>
          </w:tcPr>
          <w:p>
            <w:r>
              <w:rPr>
                <w:sz w:val="20"/>
              </w:rPr>
              <w:t>M+18</w:t>
            </w:r>
          </w:p>
        </w:tc>
      </w:tr>
    </w:tbl>
    <w:p>
      <w:pPr>
        <w:pStyle w:val="Heading1"/>
      </w:pPr>
      <w:r>
        <w:rPr>
          <w:color w:val="011645"/>
          <w:sz w:val="40"/>
        </w:rPr>
        <w:t>10. Critères de succès</w:t>
      </w:r>
    </w:p>
    <w:p>
      <w:r>
        <w:rPr>
          <w:b w:val="0"/>
          <w:i w:val="0"/>
        </w:rPr>
        <w:t>Le succès du projet sera évalué selon 5 dimensions :</w:t>
      </w:r>
    </w:p>
    <w:tbl>
      <w:tblPr>
        <w:tblStyle w:val="LightGrid-Accent1"/>
        <w:tblW w:type="auto" w:w="0"/>
        <w:tblLook w:firstColumn="1" w:firstRow="1" w:lastColumn="0" w:lastRow="0" w:noHBand="0" w:noVBand="1" w:val="04A0"/>
      </w:tblPr>
      <w:tblGrid>
        <w:gridCol w:w="3249"/>
        <w:gridCol w:w="3249"/>
        <w:gridCol w:w="3249"/>
      </w:tblGrid>
      <w:tr>
        <w:tc>
          <w:tcPr>
            <w:tcW w:type="dxa" w:w="3249"/>
            <w:shd w:val="clear" w:color="auto" w:fill="022A6B"/>
          </w:tcPr>
          <w:p>
            <w:r>
              <w:rPr>
                <w:b/>
                <w:color w:val="FFFFFF"/>
                <w:sz w:val="20"/>
              </w:rPr>
              <w:t>Dimension</w:t>
            </w:r>
          </w:p>
        </w:tc>
        <w:tc>
          <w:tcPr>
            <w:tcW w:type="dxa" w:w="3249"/>
            <w:shd w:val="clear" w:color="auto" w:fill="022A6B"/>
          </w:tcPr>
          <w:p>
            <w:r>
              <w:rPr>
                <w:b/>
                <w:color w:val="FFFFFF"/>
                <w:sz w:val="20"/>
              </w:rPr>
              <w:t>Indicateur</w:t>
            </w:r>
          </w:p>
        </w:tc>
        <w:tc>
          <w:tcPr>
            <w:tcW w:type="dxa" w:w="3249"/>
            <w:shd w:val="clear" w:color="auto" w:fill="022A6B"/>
          </w:tcPr>
          <w:p>
            <w:r>
              <w:rPr>
                <w:b/>
                <w:color w:val="FFFFFF"/>
                <w:sz w:val="20"/>
              </w:rPr>
              <w:t>Seuil de succès</w:t>
            </w:r>
          </w:p>
        </w:tc>
      </w:tr>
      <w:tr>
        <w:tc>
          <w:tcPr>
            <w:tcW w:type="dxa" w:w="3249"/>
          </w:tcPr>
          <w:p>
            <w:r>
              <w:rPr>
                <w:sz w:val="20"/>
              </w:rPr>
              <w:t>Adoption</w:t>
            </w:r>
          </w:p>
        </w:tc>
        <w:tc>
          <w:tcPr>
            <w:tcW w:type="dxa" w:w="3249"/>
          </w:tcPr>
          <w:p>
            <w:r>
              <w:rPr>
                <w:sz w:val="20"/>
              </w:rPr>
              <w:t>MAU à M+12</w:t>
            </w:r>
          </w:p>
        </w:tc>
        <w:tc>
          <w:tcPr>
            <w:tcW w:type="dxa" w:w="3249"/>
          </w:tcPr>
          <w:p>
            <w:r>
              <w:rPr>
                <w:sz w:val="20"/>
              </w:rPr>
              <w:t>≥ 50 000</w:t>
            </w:r>
          </w:p>
        </w:tc>
      </w:tr>
      <w:tr>
        <w:tc>
          <w:tcPr>
            <w:tcW w:type="dxa" w:w="3249"/>
          </w:tcPr>
          <w:p>
            <w:r>
              <w:rPr>
                <w:sz w:val="20"/>
              </w:rPr>
              <w:t>Économie</w:t>
            </w:r>
          </w:p>
        </w:tc>
        <w:tc>
          <w:tcPr>
            <w:tcW w:type="dxa" w:w="3249"/>
          </w:tcPr>
          <w:p>
            <w:r>
              <w:rPr>
                <w:sz w:val="20"/>
              </w:rPr>
              <w:t>GMV cumulé à M+18</w:t>
            </w:r>
          </w:p>
        </w:tc>
        <w:tc>
          <w:tcPr>
            <w:tcW w:type="dxa" w:w="3249"/>
          </w:tcPr>
          <w:p>
            <w:r>
              <w:rPr>
                <w:sz w:val="20"/>
              </w:rPr>
              <w:t>≥ 100 M€</w:t>
            </w:r>
          </w:p>
        </w:tc>
      </w:tr>
      <w:tr>
        <w:tc>
          <w:tcPr>
            <w:tcW w:type="dxa" w:w="3249"/>
          </w:tcPr>
          <w:p>
            <w:r>
              <w:rPr>
                <w:sz w:val="20"/>
              </w:rPr>
              <w:t>Qualité produit</w:t>
            </w:r>
          </w:p>
        </w:tc>
        <w:tc>
          <w:tcPr>
            <w:tcW w:type="dxa" w:w="3249"/>
          </w:tcPr>
          <w:p>
            <w:r>
              <w:rPr>
                <w:sz w:val="20"/>
              </w:rPr>
              <w:t>NPS produit</w:t>
            </w:r>
          </w:p>
        </w:tc>
        <w:tc>
          <w:tcPr>
            <w:tcW w:type="dxa" w:w="3249"/>
          </w:tcPr>
          <w:p>
            <w:r>
              <w:rPr>
                <w:sz w:val="20"/>
              </w:rPr>
              <w:t>≥ 55</w:t>
            </w:r>
          </w:p>
        </w:tc>
      </w:tr>
      <w:tr>
        <w:tc>
          <w:tcPr>
            <w:tcW w:type="dxa" w:w="3249"/>
          </w:tcPr>
          <w:p>
            <w:r>
              <w:rPr>
                <w:sz w:val="20"/>
              </w:rPr>
              <w:t>Fiabilité</w:t>
            </w:r>
          </w:p>
        </w:tc>
        <w:tc>
          <w:tcPr>
            <w:tcW w:type="dxa" w:w="3249"/>
          </w:tcPr>
          <w:p>
            <w:r>
              <w:rPr>
                <w:sz w:val="20"/>
              </w:rPr>
              <w:t>Taux de transferts complétés</w:t>
            </w:r>
          </w:p>
        </w:tc>
        <w:tc>
          <w:tcPr>
            <w:tcW w:type="dxa" w:w="3249"/>
          </w:tcPr>
          <w:p>
            <w:r>
              <w:rPr>
                <w:sz w:val="20"/>
              </w:rPr>
              <w:t>≥ 98 %</w:t>
            </w:r>
          </w:p>
        </w:tc>
      </w:tr>
      <w:tr>
        <w:tc>
          <w:tcPr>
            <w:tcW w:type="dxa" w:w="3249"/>
          </w:tcPr>
          <w:p>
            <w:r>
              <w:rPr>
                <w:sz w:val="20"/>
              </w:rPr>
              <w:t>Conformité</w:t>
            </w:r>
          </w:p>
        </w:tc>
        <w:tc>
          <w:tcPr>
            <w:tcW w:type="dxa" w:w="3249"/>
          </w:tcPr>
          <w:p>
            <w:r>
              <w:rPr>
                <w:sz w:val="20"/>
              </w:rPr>
              <w:t>Aucune sanction réglementaire majeure</w:t>
            </w:r>
          </w:p>
        </w:tc>
        <w:tc>
          <w:tcPr>
            <w:tcW w:type="dxa" w:w="3249"/>
          </w:tcPr>
          <w:p>
            <w:r>
              <w:rPr>
                <w:sz w:val="20"/>
              </w:rPr>
              <w:t>0 incident bloquant</w:t>
            </w:r>
          </w:p>
        </w:tc>
      </w:tr>
    </w:tbl>
    <w:tbl>
      <w:tblPr>
        <w:tblW w:type="auto" w:w="0"/>
        <w:tblLook w:firstColumn="1" w:firstRow="1" w:lastColumn="0" w:lastRow="0" w:noHBand="0" w:noVBand="1" w:val="04A0"/>
      </w:tblPr>
      <w:tblGrid>
        <w:gridCol w:w="9746"/>
      </w:tblGrid>
      <w:tr>
        <w:tc>
          <w:tcPr>
            <w:tcW w:type="dxa" w:w="9746"/>
            <w:shd w:val="clear" w:color="auto" w:fill="C9A227"/>
          </w:tcPr>
          <w:p>
            <w:r>
              <w:rPr>
                <w:b/>
                <w:color w:val="FFFFFF"/>
                <w:sz w:val="24"/>
              </w:rPr>
              <w:t>⚡ Critère bloquant</w:t>
              <w:br/>
            </w:r>
            <w:r>
              <w:rPr>
                <w:color w:val="FFFFFF"/>
                <w:sz w:val="20"/>
              </w:rPr>
              <w:t>Tout incident de sécurité critique (vol de fonds, breach RGPD) constituera un échec indépendamment des autres KPI. La sécurité prime sur toutes les autres dimensions.</w:t>
            </w:r>
          </w:p>
        </w:tc>
      </w:tr>
    </w:tbl>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