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Catalogue des règles métier</w:t>
      </w:r>
    </w:p>
    <w:p>
      <w:pPr>
        <w:jc w:val="left"/>
      </w:pPr>
      <w:r>
        <w:rPr>
          <w:color w:val="363F5C"/>
          <w:sz w:val="32"/>
        </w:rPr>
        <w:t>SendFloo — Toutes les règles de calcul, plafonds et exceptions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SF-PRD-RM-004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Règles de calcul des frais</w:t>
      </w:r>
    </w:p>
    <w:p>
      <w:r>
        <w:rPr>
          <w:b/>
          <w:color w:val="011645"/>
          <w:sz w:val="22"/>
        </w:rPr>
        <w:t>2. Règles de change FX</w:t>
      </w:r>
    </w:p>
    <w:p>
      <w:r>
        <w:rPr>
          <w:b/>
          <w:color w:val="011645"/>
          <w:sz w:val="22"/>
        </w:rPr>
        <w:t>3. Plafonds de montant</w:t>
      </w:r>
    </w:p>
    <w:p>
      <w:r>
        <w:rPr>
          <w:b/>
          <w:color w:val="011645"/>
          <w:sz w:val="22"/>
        </w:rPr>
        <w:t>4. Règles d'annulation</w:t>
      </w:r>
    </w:p>
    <w:p>
      <w:r>
        <w:rPr>
          <w:b/>
          <w:color w:val="011645"/>
          <w:sz w:val="22"/>
        </w:rPr>
        <w:t>5. Conditions de remboursement</w:t>
      </w:r>
    </w:p>
    <w:p>
      <w:r>
        <w:rPr>
          <w:b/>
          <w:color w:val="011645"/>
          <w:sz w:val="22"/>
        </w:rPr>
        <w:t>6. Règles d'affectation des payeurs</w:t>
      </w:r>
    </w:p>
    <w:p>
      <w:r>
        <w:rPr>
          <w:b/>
          <w:color w:val="011645"/>
          <w:sz w:val="22"/>
        </w:rPr>
        <w:t>7. Règles de disponibilité</w:t>
      </w:r>
    </w:p>
    <w:p>
      <w:r>
        <w:rPr>
          <w:b/>
          <w:color w:val="011645"/>
          <w:sz w:val="22"/>
        </w:rPr>
        <w:t>8. Gestion des expirations</w:t>
      </w:r>
    </w:p>
    <w:p>
      <w:r>
        <w:rPr>
          <w:b/>
          <w:color w:val="011645"/>
          <w:sz w:val="22"/>
        </w:rPr>
        <w:t>9. Règles de commissionnement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Règles de calcul des frais</w:t>
      </w:r>
    </w:p>
    <w:p>
      <w:pPr>
        <w:pStyle w:val="Heading2"/>
      </w:pPr>
      <w:r>
        <w:rPr>
          <w:color w:val="022A6B"/>
          <w:sz w:val="30"/>
        </w:rPr>
        <w:t>1.1 Frais plate-forme</w:t>
      </w:r>
    </w:p>
    <w:p>
      <w:r>
        <w:rPr>
          <w:b w:val="0"/>
          <w:i w:val="0"/>
        </w:rPr>
        <w:t>Frais_plate-forme = max(0,80 €, 0,8 % × montant_envoyé)</w:t>
      </w:r>
    </w:p>
    <w:p>
      <w:r>
        <w:rPr>
          <w:b w:val="0"/>
          <w:i w:val="0"/>
        </w:rPr>
        <w:t>Exemples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Montant envoyé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Frais plate-forme calculé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Total avant frais agent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0,80 € (plancher)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50,80 €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0,80 € (plancher)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100,80 €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250 €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2,00 €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252,00 €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4,00 €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504,00 €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1 000 €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8,00 €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1 008,00 €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5 000 €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40,00 €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5 040,00 €</w:t>
            </w:r>
          </w:p>
        </w:tc>
      </w:tr>
    </w:tbl>
    <w:p>
      <w:pPr>
        <w:pStyle w:val="Heading2"/>
      </w:pPr>
      <w:r>
        <w:rPr>
          <w:color w:val="022A6B"/>
          <w:sz w:val="30"/>
        </w:rPr>
        <w:t>1.2 Frais agent (issu de l'enchère)</w:t>
      </w:r>
    </w:p>
    <w:p>
      <w:r>
        <w:rPr>
          <w:b w:val="0"/>
          <w:i w:val="0"/>
        </w:rPr>
        <w:t>Frais_agent = bid_taux × montant_envoyé / 100</w:t>
      </w:r>
    </w:p>
    <w:p>
      <w:r>
        <w:rPr>
          <w:b w:val="0"/>
          <w:i w:val="0"/>
        </w:rPr>
        <w:t>Le taux gagnant est compris entre frais_min_corridor et frais_max_corridor.</w:t>
      </w:r>
    </w:p>
    <w:p>
      <w:pPr>
        <w:pStyle w:val="Heading1"/>
      </w:pPr>
      <w:r>
        <w:rPr>
          <w:color w:val="011645"/>
          <w:sz w:val="40"/>
        </w:rPr>
        <w:t>2. Règles de change FX</w:t>
      </w:r>
    </w:p>
    <w:p>
      <w:pPr>
        <w:pStyle w:val="ListBullet"/>
      </w:pPr>
      <w:r>
        <w:t>Source du taux interbancaire : fixé via flux ECB / European Central Bank, rafraîchi toutes les 15 minutes.</w:t>
      </w:r>
    </w:p>
    <w:p>
      <w:pPr>
        <w:pStyle w:val="ListBullet"/>
      </w:pPr>
      <w:r>
        <w:t>Spread appliqué : 0,5 % à 1,2 % selon corridor, transparent côté UI.</w:t>
      </w:r>
    </w:p>
    <w:p>
      <w:pPr>
        <w:pStyle w:val="ListBullet"/>
      </w:pPr>
      <w:r>
        <w:t>Conversion : montant_destination = montant_envoyé × taux_interbancaire × (1 + spread).</w:t>
      </w:r>
    </w:p>
    <w:p>
      <w:pPr>
        <w:pStyle w:val="ListBullet"/>
      </w:pPr>
      <w:r>
        <w:t>Verrouillage du taux : pendant l'enchère 30 sec + le délai de complétion (jusqu'à 4h).</w:t>
      </w:r>
    </w:p>
    <w:p>
      <w:pPr>
        <w:pStyle w:val="ListBullet"/>
      </w:pPr>
      <w:r>
        <w:t>Si dépassement du délai de verrouillage, le client est notifié et doit revalider le nouveau taux.</w:t>
      </w:r>
    </w:p>
    <w:p>
      <w:pPr>
        <w:pStyle w:val="Heading1"/>
      </w:pPr>
      <w:r>
        <w:rPr>
          <w:color w:val="011645"/>
          <w:sz w:val="40"/>
        </w:rPr>
        <w:t>3. Plafonds de montant</w:t>
      </w:r>
    </w:p>
    <w:p>
      <w:pPr>
        <w:pStyle w:val="Heading2"/>
      </w:pPr>
      <w:r>
        <w:rPr>
          <w:color w:val="022A6B"/>
          <w:sz w:val="30"/>
        </w:rPr>
        <w:t>3.1 Par tier KYC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Jour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Tier 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0 €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12 000 €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100 000 €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1 000 000 €</w:t>
            </w:r>
          </w:p>
        </w:tc>
      </w:tr>
    </w:tbl>
    <w:p>
      <w:pPr>
        <w:pStyle w:val="Heading2"/>
      </w:pPr>
      <w:r>
        <w:rPr>
          <w:color w:val="022A6B"/>
          <w:sz w:val="30"/>
        </w:rPr>
        <w:t>3.2 Par transaction unitaire</w:t>
      </w:r>
    </w:p>
    <w:p>
      <w:pPr>
        <w:pStyle w:val="ListBullet"/>
      </w:pPr>
      <w:r>
        <w:t>Minimum : 5 € (sous ce seuil, pas rentable + risque blanchiment fractionné).</w:t>
      </w:r>
    </w:p>
    <w:p>
      <w:pPr>
        <w:pStyle w:val="ListBullet"/>
      </w:pPr>
      <w:r>
        <w:t>Maximum unitaire Tier 2 : 5 000 €.</w:t>
      </w:r>
    </w:p>
    <w:p>
      <w:pPr>
        <w:pStyle w:val="ListBullet"/>
      </w:pPr>
      <w:r>
        <w:t>Maximum unitaire Tier 3 : 20 000 €.</w:t>
      </w:r>
    </w:p>
    <w:p>
      <w:pPr>
        <w:pStyle w:val="ListBullet"/>
      </w:pPr>
      <w:r>
        <w:t>Au-delà : workflow validation manuel par compliance officer.</w:t>
      </w:r>
    </w:p>
    <w:p>
      <w:pPr>
        <w:pStyle w:val="Heading1"/>
      </w:pPr>
      <w:r>
        <w:rPr>
          <w:color w:val="011645"/>
          <w:sz w:val="40"/>
        </w:rPr>
        <w:t>4. Règles d'annulation</w:t>
      </w:r>
    </w:p>
    <w:p>
      <w:pPr>
        <w:pStyle w:val="ListBullet"/>
      </w:pPr>
      <w:r>
        <w:t>Client peut annuler tant que le statut est BIDDING, AGENT_ASSIGNED ou READY_FOR_PICKUP.</w:t>
      </w:r>
    </w:p>
    <w:p>
      <w:pPr>
        <w:pStyle w:val="ListBullet"/>
      </w:pPr>
      <w:r>
        <w:t>Une fois en PROCESSING (agent a scanné le QR), annulation impossible côté client → ouvre DISPUTED.</w:t>
      </w:r>
    </w:p>
    <w:p>
      <w:pPr>
        <w:pStyle w:val="ListBullet"/>
      </w:pPr>
      <w:r>
        <w:t>Annulation pendant BIDDING : aucun frais, refund instantané.</w:t>
      </w:r>
    </w:p>
    <w:p>
      <w:pPr>
        <w:pStyle w:val="ListBullet"/>
      </w:pPr>
      <w:r>
        <w:t>Annulation pendant AGENT_ASSIGNED : frais_plate-forme × 30 % retenu (frais d'opportunité agent).</w:t>
      </w:r>
    </w:p>
    <w:p>
      <w:pPr>
        <w:pStyle w:val="ListBullet"/>
      </w:pPr>
      <w:r>
        <w:t>Annulation pendant READY_FOR_PICKUP : refund de 80 % du montant, 20 % retenu comme compensation agent + frais.</w:t>
      </w:r>
    </w:p>
    <w:p>
      <w:pPr>
        <w:pStyle w:val="ListBullet"/>
      </w:pPr>
      <w:r>
        <w:t>Annulation par agent (refus de remise) : agent pénalisé (note -0,3) + transfert relancé en enchère automatiquement.</w:t>
      </w:r>
    </w:p>
    <w:p>
      <w:pPr>
        <w:pStyle w:val="Heading1"/>
      </w:pPr>
      <w:r>
        <w:rPr>
          <w:color w:val="011645"/>
          <w:sz w:val="40"/>
        </w:rPr>
        <w:t>5. Conditions de remboursement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Cas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Délai refund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Montant remboursé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Annulation pendant BIDDING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Instantané (wallet)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Annulation pendant AGENT_ASSIGNED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1h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100 % - 30 % frais plate-forme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Expiration (aucun bid)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Instantané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Bénéficiaire absent 48h (cash)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24h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60 % (40 % retenu : 20 % agent + 20 % plate-forme)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Litige résolu en faveur client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7 jours après décision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Variable selon arbitrage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Erreur technique plate-forme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24h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100 % + geste commercial 5 €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Règles d'affectation des payeurs</w:t>
      </w:r>
    </w:p>
    <w:p>
      <w:r>
        <w:rPr>
          <w:b w:val="0"/>
          <w:i w:val="0"/>
        </w:rPr>
        <w:t>Algorithme de matching agent ↔ enchère :</w:t>
      </w:r>
    </w:p>
    <w:p>
      <w:pPr>
        <w:pStyle w:val="ListNumber"/>
      </w:pPr>
      <w:r>
        <w:t>Filtrer agents avec status=approved ET available=true ET kyc_pro_tier ≥ 2.</w:t>
      </w:r>
    </w:p>
    <w:p>
      <w:pPr>
        <w:pStyle w:val="ListNumber"/>
      </w:pPr>
      <w:r>
        <w:t>Filtrer par corridor (country_from + country_to) qui match l'agent.</w:t>
      </w:r>
    </w:p>
    <w:p>
      <w:pPr>
        <w:pStyle w:val="ListNumber"/>
      </w:pPr>
      <w:r>
        <w:t>Filtrer par ville (city_match) si l'agent a une ville spécifique enregistrée.</w:t>
      </w:r>
    </w:p>
    <w:p>
      <w:pPr>
        <w:pStyle w:val="ListNumber"/>
      </w:pPr>
      <w:r>
        <w:t>Trier par disponibilité (online en priorité), puis par tier (Platinum &gt; Gold &gt; Silver), puis par rating.</w:t>
      </w:r>
    </w:p>
    <w:p>
      <w:pPr>
        <w:pStyle w:val="ListNumber"/>
      </w:pPr>
      <w:r>
        <w:t>Limiter à 50 agents max pour ne pas saturer le broadcast WebSocket.</w:t>
      </w:r>
    </w:p>
    <w:p>
      <w:pPr>
        <w:pStyle w:val="ListNumber"/>
      </w:pPr>
      <w:r>
        <w:t>Envoyer l'événement WebSocket à ces 50 agents.</w:t>
      </w:r>
    </w:p>
    <w:p>
      <w:pPr>
        <w:pStyle w:val="ListNumber"/>
      </w:pPr>
      <w:r>
        <w:t>Recommandation produit côté client : score = bid_fee × 0,6 + (5 - rating) × 0,3 + estimated_delivery_minutes / 60 × 0,1.</w:t>
      </w:r>
    </w:p>
    <w:p>
      <w:pPr>
        <w:pStyle w:val="Heading1"/>
      </w:pPr>
      <w:r>
        <w:rPr>
          <w:color w:val="011645"/>
          <w:sz w:val="40"/>
        </w:rPr>
        <w:t>7. Règles de disponibilité</w:t>
      </w:r>
    </w:p>
    <w:p>
      <w:pPr>
        <w:pStyle w:val="ListBullet"/>
      </w:pPr>
      <w:r>
        <w:t>Un agent est available=true s'il l'a explicitement activé dans son app PAYBID.</w:t>
      </w:r>
    </w:p>
    <w:p>
      <w:pPr>
        <w:pStyle w:val="ListBullet"/>
      </w:pPr>
      <w:r>
        <w:t>L'agent passe automatiquement available=false après 30 min d'inactivité (WebSocket idle).</w:t>
      </w:r>
    </w:p>
    <w:p>
      <w:pPr>
        <w:pStyle w:val="ListBullet"/>
      </w:pPr>
      <w:r>
        <w:t>L'agent passe automatiquement available=false si son float devient insuffisant (alerte seuil).</w:t>
      </w:r>
    </w:p>
    <w:p>
      <w:pPr>
        <w:pStyle w:val="ListBullet"/>
      </w:pPr>
      <w:r>
        <w:t>L'admin peut force-disable un agent (cas de fraude, KYC à renouveler).</w:t>
      </w:r>
    </w:p>
    <w:p>
      <w:pPr>
        <w:pStyle w:val="ListBullet"/>
      </w:pPr>
      <w:r>
        <w:t>Un super-agent peut désactiver temporairement un agent enfant pour audit interne.</w:t>
      </w:r>
    </w:p>
    <w:p>
      <w:pPr>
        <w:pStyle w:val="Heading1"/>
      </w:pPr>
      <w:r>
        <w:rPr>
          <w:color w:val="011645"/>
          <w:sz w:val="40"/>
        </w:rPr>
        <w:t>8. Gestion des expirations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Délai d'expiration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Action automatique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BIDDING (round 1)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30 sec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Si 0 bid → proposer round 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BIDDING (round 3 sans bid)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30 sec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Auto-CANCELLED + refund 100 %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Sélection agent (post-enchère)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60 sec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Auto-sélection meilleur score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AGENT_ASSIGNED (mode cash)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48h sans pickup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Auto-EXPIRED, refund 60 %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AGENT_ASSIGNED (mode banque)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72h sans remise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Auto-EXPIRED, refund 100 % (rare)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Token QR retrait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48h après génération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QR invalidé, nouveau code à générer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Session admin/agent (cookie web)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12h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Re-login requis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JWT mobile app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30 jours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Re-login requis (refresh token disponible)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9. Règles de commissionnement</w:t>
      </w:r>
    </w:p>
    <w:p>
      <w:pPr>
        <w:pStyle w:val="Heading2"/>
      </w:pPr>
      <w:r>
        <w:rPr>
          <w:color w:val="022A6B"/>
          <w:sz w:val="30"/>
        </w:rPr>
        <w:t>9.1 Pour les agents</w:t>
      </w:r>
    </w:p>
    <w:p>
      <w:pPr>
        <w:pStyle w:val="ListBullet"/>
      </w:pPr>
      <w:r>
        <w:t>Commission agent = bid_taux × montant_envoyé / 100 (le taux qu'il a proposé).</w:t>
      </w:r>
    </w:p>
    <w:p>
      <w:pPr>
        <w:pStyle w:val="ListBullet"/>
      </w:pPr>
      <w:r>
        <w:t>Crédité sur le float interne dès le statut COMPLETED.</w:t>
      </w:r>
    </w:p>
    <w:p>
      <w:pPr>
        <w:pStyle w:val="ListBullet"/>
      </w:pPr>
      <w:r>
        <w:t>Payable immédiatement (settlement journalier ou hebdo selon préférence agent).</w:t>
      </w:r>
    </w:p>
    <w:p>
      <w:pPr>
        <w:pStyle w:val="ListBullet"/>
      </w:pPr>
      <w:r>
        <w:t>Aucune retenue plate-forme sur la commission agent (transparence totale).</w:t>
      </w:r>
    </w:p>
    <w:p>
      <w:pPr>
        <w:pStyle w:val="Heading2"/>
      </w:pPr>
      <w:r>
        <w:rPr>
          <w:color w:val="022A6B"/>
          <w:sz w:val="30"/>
        </w:rPr>
        <w:t>9.2 Pour les super-agents (override)</w:t>
      </w:r>
    </w:p>
    <w:p>
      <w:pPr>
        <w:pStyle w:val="ListBullet"/>
      </w:pPr>
      <w:r>
        <w:t>Override = 10 % du volume agent enfant (configurable, max 15 %).</w:t>
      </w:r>
    </w:p>
    <w:p>
      <w:pPr>
        <w:pStyle w:val="ListBullet"/>
      </w:pPr>
      <w:r>
        <w:t>Calculé sur les transferts COMPLETED des agents rattachés.</w:t>
      </w:r>
    </w:p>
    <w:p>
      <w:pPr>
        <w:pStyle w:val="ListBullet"/>
      </w:pPr>
      <w:r>
        <w:t>Crédité mensuellement (5 du mois M+1 pour les transferts du mois M).</w:t>
      </w:r>
    </w:p>
    <w:p>
      <w:pPr>
        <w:pStyle w:val="ListBullet"/>
      </w:pPr>
      <w:r>
        <w:t>Sous condition : ≥ 3 agents actifs dans le réseau + volume mensuel ≥ 50 000 €.</w:t>
      </w:r>
    </w:p>
    <w:p>
      <w:pPr>
        <w:pStyle w:val="Heading2"/>
      </w:pPr>
      <w:r>
        <w:rPr>
          <w:color w:val="022A6B"/>
          <w:sz w:val="30"/>
        </w:rPr>
        <w:t>9.3 Niveaux loyalty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Critères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Avantages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Silver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 défaut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Standard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Gold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50+ transferts complétés ET note ≥ 4,5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Priorité broadcast WebSocket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Platinum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200+ transferts ET note ≥ 4,7 ET région stratégique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+15 % visibilité, badge UI, support pro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