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22A6B"/>
          <w:sz w:val="40"/>
        </w:rPr>
        <w:t xml:space="preserve">SENDFLOO </w:t>
      </w:r>
      <w:r>
        <w:rPr>
          <w:color w:val="6E769A"/>
          <w:sz w:val="26"/>
        </w:rPr>
        <w:t>· documentation projet</w:t>
      </w:r>
    </w:p>
    <w:p/>
    <w:p/>
    <w:p/>
    <w:p/>
    <w:p/>
    <w:p/>
    <w:p>
      <w:pPr>
        <w:jc w:val="left"/>
      </w:pPr>
      <w:r>
        <w:rPr>
          <w:b/>
          <w:color w:val="011645"/>
          <w:sz w:val="72"/>
        </w:rPr>
        <w:t>User stories &amp; backlog produit</w:t>
      </w:r>
    </w:p>
    <w:p>
      <w:pPr>
        <w:jc w:val="left"/>
      </w:pPr>
      <w:r>
        <w:rPr>
          <w:color w:val="363F5C"/>
          <w:sz w:val="32"/>
        </w:rPr>
        <w:t>SendFloo — Stories sprint par sprint avec critères d'acceptation</w:t>
      </w:r>
    </w:p>
    <w:p/>
    <w:p/>
    <w:p/>
    <w:p/>
    <w:p/>
    <w:p/>
    <w:p/>
    <w:p/>
    <w:p/>
    <w:p/>
    <w:tbl>
      <w:tblPr>
        <w:tblStyle w:val="LightGrid-Accent1"/>
        <w:tblW w:type="auto" w:w="0"/>
        <w:tblLook w:firstColumn="1" w:firstRow="1" w:lastColumn="0" w:lastRow="0" w:noHBand="0" w:noVBand="1" w:val="04A0"/>
      </w:tblPr>
      <w:tblGrid>
        <w:gridCol w:w="4873"/>
        <w:gridCol w:w="4873"/>
      </w:tblGrid>
      <w:tr>
        <w:tc>
          <w:tcPr>
            <w:tcW w:type="dxa" w:w="4873"/>
          </w:tcPr>
          <w:p>
            <w:r>
              <w:rPr>
                <w:b/>
                <w:color w:val="022A6B"/>
                <w:sz w:val="22"/>
              </w:rPr>
              <w:t>Code document</w:t>
            </w:r>
          </w:p>
        </w:tc>
        <w:tc>
          <w:tcPr>
            <w:tcW w:type="dxa" w:w="4873"/>
          </w:tcPr>
          <w:p>
            <w:r>
              <w:t>SF-PRD-US-003</w:t>
            </w:r>
          </w:p>
        </w:tc>
      </w:tr>
      <w:tr>
        <w:tc>
          <w:tcPr>
            <w:tcW w:type="dxa" w:w="4873"/>
          </w:tcPr>
          <w:p>
            <w:r>
              <w:rPr>
                <w:b/>
                <w:color w:val="022A6B"/>
                <w:sz w:val="22"/>
              </w:rPr>
              <w:t>Version</w:t>
            </w:r>
          </w:p>
        </w:tc>
        <w:tc>
          <w:tcPr>
            <w:tcW w:type="dxa" w:w="4873"/>
          </w:tcPr>
          <w:p>
            <w:r>
              <w:t>1.0</w:t>
            </w:r>
          </w:p>
        </w:tc>
      </w:tr>
      <w:tr>
        <w:tc>
          <w:tcPr>
            <w:tcW w:type="dxa" w:w="4873"/>
          </w:tcPr>
          <w:p>
            <w:r>
              <w:rPr>
                <w:b/>
                <w:color w:val="022A6B"/>
                <w:sz w:val="22"/>
              </w:rPr>
              <w:t>Date d'édition</w:t>
            </w:r>
          </w:p>
        </w:tc>
        <w:tc>
          <w:tcPr>
            <w:tcW w:type="dxa" w:w="4873"/>
          </w:tcPr>
          <w:p>
            <w:r>
              <w:t>03/06/2026</w:t>
            </w:r>
          </w:p>
        </w:tc>
      </w:tr>
      <w:tr>
        <w:tc>
          <w:tcPr>
            <w:tcW w:type="dxa" w:w="4873"/>
          </w:tcPr>
          <w:p>
            <w:r>
              <w:rPr>
                <w:b/>
                <w:color w:val="022A6B"/>
                <w:sz w:val="22"/>
              </w:rPr>
              <w:t>Auteur(s)</w:t>
            </w:r>
          </w:p>
        </w:tc>
        <w:tc>
          <w:tcPr>
            <w:tcW w:type="dxa" w:w="4873"/>
          </w:tcPr>
          <w:p>
            <w:r>
              <w:t>Direction Produit SendFloo</w:t>
            </w:r>
          </w:p>
        </w:tc>
      </w:tr>
      <w:tr>
        <w:tc>
          <w:tcPr>
            <w:tcW w:type="dxa" w:w="4873"/>
          </w:tcPr>
          <w:p>
            <w:r>
              <w:rPr>
                <w:b/>
                <w:color w:val="022A6B"/>
                <w:sz w:val="22"/>
              </w:rPr>
              <w:t>Destinataires</w:t>
            </w:r>
          </w:p>
        </w:tc>
        <w:tc>
          <w:tcPr>
            <w:tcW w:type="dxa" w:w="4873"/>
          </w:tcPr>
          <w:p>
            <w:r>
              <w:t>Comité de Pilotage, Équipes Technique &amp; Métier</w:t>
            </w:r>
          </w:p>
        </w:tc>
      </w:tr>
    </w:tbl>
    <w:p>
      <w:r>
        <w:br w:type="page"/>
      </w:r>
    </w:p>
    <w:p>
      <w:pPr>
        <w:pStyle w:val="Heading1"/>
        <w:jc w:val="left"/>
      </w:pPr>
      <w:r>
        <w:rPr>
          <w:color w:val="011645"/>
        </w:rPr>
        <w:t>Sommaire</w:t>
      </w:r>
    </w:p>
    <w:p>
      <w:r>
        <w:rPr>
          <w:b/>
          <w:color w:val="011645"/>
          <w:sz w:val="22"/>
        </w:rPr>
        <w:t>1. Définition du DONE</w:t>
      </w:r>
    </w:p>
    <w:p>
      <w:r>
        <w:rPr>
          <w:b/>
          <w:color w:val="011645"/>
          <w:sz w:val="22"/>
        </w:rPr>
        <w:t>2. Backlog par épopée</w:t>
      </w:r>
    </w:p>
    <w:p>
      <w:r>
        <w:rPr>
          <w:b/>
          <w:color w:val="011645"/>
          <w:sz w:val="22"/>
        </w:rPr>
        <w:t>3. User stories détaillées (échantillon)</w:t>
      </w:r>
    </w:p>
    <w:p>
      <w:r>
        <w:rPr>
          <w:b/>
          <w:color w:val="011645"/>
          <w:sz w:val="22"/>
        </w:rPr>
        <w:t>4. Priorisation et dépendances</w:t>
      </w:r>
    </w:p>
    <w:p>
      <w:r>
        <w:br w:type="page"/>
      </w:r>
    </w:p>
    <w:p>
      <w:pPr>
        <w:pStyle w:val="Heading1"/>
      </w:pPr>
      <w:r>
        <w:rPr>
          <w:color w:val="011645"/>
          <w:sz w:val="40"/>
        </w:rPr>
        <w:t>1. Définition du DONE</w:t>
      </w:r>
    </w:p>
    <w:p>
      <w:pPr>
        <w:pStyle w:val="ListBullet"/>
      </w:pPr>
      <w:r>
        <w:t>Code mergé sur main + revue par au moins 1 dev senior.</w:t>
      </w:r>
    </w:p>
    <w:p>
      <w:pPr>
        <w:pStyle w:val="ListBullet"/>
      </w:pPr>
      <w:r>
        <w:t>Tests unitaires écrits, couverture &gt; 70 % sur les modules touchés.</w:t>
      </w:r>
    </w:p>
    <w:p>
      <w:pPr>
        <w:pStyle w:val="ListBullet"/>
      </w:pPr>
      <w:r>
        <w:t>Tests E2E (Playwright pour panels, Detox pour mobile) passants.</w:t>
      </w:r>
    </w:p>
    <w:p>
      <w:pPr>
        <w:pStyle w:val="ListBullet"/>
      </w:pPr>
      <w:r>
        <w:t>Critères d'acceptation validés par PO en démo sprint.</w:t>
      </w:r>
    </w:p>
    <w:p>
      <w:pPr>
        <w:pStyle w:val="ListBullet"/>
      </w:pPr>
      <w:r>
        <w:t>Documentation mise à jour (README, OpenAPI, notion).</w:t>
      </w:r>
    </w:p>
    <w:p>
      <w:pPr>
        <w:pStyle w:val="ListBullet"/>
      </w:pPr>
      <w:r>
        <w:t>Aucun bug bloquant ouvert sur la story.</w:t>
      </w:r>
    </w:p>
    <w:p>
      <w:pPr>
        <w:pStyle w:val="ListBullet"/>
      </w:pPr>
      <w:r>
        <w:t>Déployé en staging et fumé manuellement.</w:t>
      </w:r>
    </w:p>
    <w:p>
      <w:pPr>
        <w:pStyle w:val="ListBullet"/>
      </w:pPr>
      <w:r>
        <w:t>Aucune régression détectée sur smoke tests automatisés.</w:t>
      </w:r>
    </w:p>
    <w:p>
      <w:pPr>
        <w:pStyle w:val="Heading1"/>
      </w:pPr>
      <w:r>
        <w:rPr>
          <w:color w:val="011645"/>
          <w:sz w:val="40"/>
        </w:rPr>
        <w:t>2. Backlog par épopée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022A6B"/>
          </w:tcPr>
          <w:p>
            <w:r>
              <w:rPr>
                <w:b/>
                <w:color w:val="FFFFFF"/>
                <w:sz w:val="20"/>
              </w:rPr>
              <w:t>Épopée</w:t>
            </w:r>
          </w:p>
        </w:tc>
        <w:tc>
          <w:tcPr>
            <w:tcW w:type="dxa" w:w="2436"/>
            <w:shd w:val="clear" w:color="auto" w:fill="022A6B"/>
          </w:tcPr>
          <w:p>
            <w:r>
              <w:rPr>
                <w:b/>
                <w:color w:val="FFFFFF"/>
                <w:sz w:val="20"/>
              </w:rPr>
              <w:t>Stories</w:t>
            </w:r>
          </w:p>
        </w:tc>
        <w:tc>
          <w:tcPr>
            <w:tcW w:type="dxa" w:w="2436"/>
            <w:shd w:val="clear" w:color="auto" w:fill="022A6B"/>
          </w:tcPr>
          <w:p>
            <w:r>
              <w:rPr>
                <w:b/>
                <w:color w:val="FFFFFF"/>
                <w:sz w:val="20"/>
              </w:rPr>
              <w:t>Priorité</w:t>
            </w:r>
          </w:p>
        </w:tc>
        <w:tc>
          <w:tcPr>
            <w:tcW w:type="dxa" w:w="2436"/>
            <w:shd w:val="clear" w:color="auto" w:fill="022A6B"/>
          </w:tcPr>
          <w:p>
            <w:r>
              <w:rPr>
                <w:b/>
                <w:color w:val="FFFFFF"/>
                <w:sz w:val="20"/>
              </w:rPr>
              <w:t>Sprint cible</w:t>
            </w:r>
          </w:p>
        </w:tc>
      </w:tr>
      <w:tr>
        <w:tc>
          <w:tcPr>
            <w:tcW w:type="dxa" w:w="2436"/>
          </w:tcPr>
          <w:p>
            <w:r>
              <w:rPr>
                <w:sz w:val="20"/>
              </w:rPr>
              <w:t>E1 — Auth &amp; onboarding</w:t>
            </w:r>
          </w:p>
        </w:tc>
        <w:tc>
          <w:tcPr>
            <w:tcW w:type="dxa" w:w="2436"/>
          </w:tcPr>
          <w:p>
            <w:r>
              <w:rPr>
                <w:sz w:val="20"/>
              </w:rPr>
              <w:t>12</w:t>
            </w:r>
          </w:p>
        </w:tc>
        <w:tc>
          <w:tcPr>
            <w:tcW w:type="dxa" w:w="2436"/>
          </w:tcPr>
          <w:p>
            <w:r>
              <w:rPr>
                <w:sz w:val="20"/>
              </w:rPr>
              <w:t>P0</w:t>
            </w:r>
          </w:p>
        </w:tc>
        <w:tc>
          <w:tcPr>
            <w:tcW w:type="dxa" w:w="2436"/>
          </w:tcPr>
          <w:p>
            <w:r>
              <w:rPr>
                <w:sz w:val="20"/>
              </w:rPr>
              <w:t>S1 → S3</w:t>
            </w:r>
          </w:p>
        </w:tc>
      </w:tr>
      <w:tr>
        <w:tc>
          <w:tcPr>
            <w:tcW w:type="dxa" w:w="2436"/>
          </w:tcPr>
          <w:p>
            <w:r>
              <w:rPr>
                <w:sz w:val="20"/>
              </w:rPr>
              <w:t>E2 — Wallet FlooMoney</w:t>
            </w:r>
          </w:p>
        </w:tc>
        <w:tc>
          <w:tcPr>
            <w:tcW w:type="dxa" w:w="2436"/>
          </w:tcPr>
          <w:p>
            <w:r>
              <w:rPr>
                <w:sz w:val="20"/>
              </w:rPr>
              <w:t>9</w:t>
            </w:r>
          </w:p>
        </w:tc>
        <w:tc>
          <w:tcPr>
            <w:tcW w:type="dxa" w:w="2436"/>
          </w:tcPr>
          <w:p>
            <w:r>
              <w:rPr>
                <w:sz w:val="20"/>
              </w:rPr>
              <w:t>P0</w:t>
            </w:r>
          </w:p>
        </w:tc>
        <w:tc>
          <w:tcPr>
            <w:tcW w:type="dxa" w:w="2436"/>
          </w:tcPr>
          <w:p>
            <w:r>
              <w:rPr>
                <w:sz w:val="20"/>
              </w:rPr>
              <w:t>S2 → S4</w:t>
            </w:r>
          </w:p>
        </w:tc>
      </w:tr>
      <w:tr>
        <w:tc>
          <w:tcPr>
            <w:tcW w:type="dxa" w:w="2436"/>
          </w:tcPr>
          <w:p>
            <w:r>
              <w:rPr>
                <w:sz w:val="20"/>
              </w:rPr>
              <w:t>E3 — KYC graduel</w:t>
            </w:r>
          </w:p>
        </w:tc>
        <w:tc>
          <w:tcPr>
            <w:tcW w:type="dxa" w:w="2436"/>
          </w:tcPr>
          <w:p>
            <w:r>
              <w:rPr>
                <w:sz w:val="20"/>
              </w:rPr>
              <w:t>11</w:t>
            </w:r>
          </w:p>
        </w:tc>
        <w:tc>
          <w:tcPr>
            <w:tcW w:type="dxa" w:w="2436"/>
          </w:tcPr>
          <w:p>
            <w:r>
              <w:rPr>
                <w:sz w:val="20"/>
              </w:rPr>
              <w:t>P0</w:t>
            </w:r>
          </w:p>
        </w:tc>
        <w:tc>
          <w:tcPr>
            <w:tcW w:type="dxa" w:w="2436"/>
          </w:tcPr>
          <w:p>
            <w:r>
              <w:rPr>
                <w:sz w:val="20"/>
              </w:rPr>
              <w:t>S3 → S6</w:t>
            </w:r>
          </w:p>
        </w:tc>
      </w:tr>
      <w:tr>
        <w:tc>
          <w:tcPr>
            <w:tcW w:type="dxa" w:w="2436"/>
          </w:tcPr>
          <w:p>
            <w:r>
              <w:rPr>
                <w:sz w:val="20"/>
              </w:rPr>
              <w:t>E4 — Transfert simple (sans enchère)</w:t>
            </w:r>
          </w:p>
        </w:tc>
        <w:tc>
          <w:tcPr>
            <w:tcW w:type="dxa" w:w="2436"/>
          </w:tcPr>
          <w:p>
            <w:r>
              <w:rPr>
                <w:sz w:val="20"/>
              </w:rPr>
              <w:t>8</w:t>
            </w:r>
          </w:p>
        </w:tc>
        <w:tc>
          <w:tcPr>
            <w:tcW w:type="dxa" w:w="2436"/>
          </w:tcPr>
          <w:p>
            <w:r>
              <w:rPr>
                <w:sz w:val="20"/>
              </w:rPr>
              <w:t>P0</w:t>
            </w:r>
          </w:p>
        </w:tc>
        <w:tc>
          <w:tcPr>
            <w:tcW w:type="dxa" w:w="2436"/>
          </w:tcPr>
          <w:p>
            <w:r>
              <w:rPr>
                <w:sz w:val="20"/>
              </w:rPr>
              <w:t>S4 → S5</w:t>
            </w:r>
          </w:p>
        </w:tc>
      </w:tr>
      <w:tr>
        <w:tc>
          <w:tcPr>
            <w:tcW w:type="dxa" w:w="2436"/>
          </w:tcPr>
          <w:p>
            <w:r>
              <w:rPr>
                <w:sz w:val="20"/>
              </w:rPr>
              <w:t>E5 — Enchère temps réel</w:t>
            </w:r>
          </w:p>
        </w:tc>
        <w:tc>
          <w:tcPr>
            <w:tcW w:type="dxa" w:w="2436"/>
          </w:tcPr>
          <w:p>
            <w:r>
              <w:rPr>
                <w:sz w:val="20"/>
              </w:rPr>
              <w:t>14</w:t>
            </w:r>
          </w:p>
        </w:tc>
        <w:tc>
          <w:tcPr>
            <w:tcW w:type="dxa" w:w="2436"/>
          </w:tcPr>
          <w:p>
            <w:r>
              <w:rPr>
                <w:sz w:val="20"/>
              </w:rPr>
              <w:t>P0</w:t>
            </w:r>
          </w:p>
        </w:tc>
        <w:tc>
          <w:tcPr>
            <w:tcW w:type="dxa" w:w="2436"/>
          </w:tcPr>
          <w:p>
            <w:r>
              <w:rPr>
                <w:sz w:val="20"/>
              </w:rPr>
              <w:t>S5 → S8</w:t>
            </w:r>
          </w:p>
        </w:tc>
      </w:tr>
      <w:tr>
        <w:tc>
          <w:tcPr>
            <w:tcW w:type="dxa" w:w="2436"/>
          </w:tcPr>
          <w:p>
            <w:r>
              <w:rPr>
                <w:sz w:val="20"/>
              </w:rPr>
              <w:t>E6 — App agent PAYBID</w:t>
            </w:r>
          </w:p>
        </w:tc>
        <w:tc>
          <w:tcPr>
            <w:tcW w:type="dxa" w:w="2436"/>
          </w:tcPr>
          <w:p>
            <w:r>
              <w:rPr>
                <w:sz w:val="20"/>
              </w:rPr>
              <w:t>16</w:t>
            </w:r>
          </w:p>
        </w:tc>
        <w:tc>
          <w:tcPr>
            <w:tcW w:type="dxa" w:w="2436"/>
          </w:tcPr>
          <w:p>
            <w:r>
              <w:rPr>
                <w:sz w:val="20"/>
              </w:rPr>
              <w:t>P0</w:t>
            </w:r>
          </w:p>
        </w:tc>
        <w:tc>
          <w:tcPr>
            <w:tcW w:type="dxa" w:w="2436"/>
          </w:tcPr>
          <w:p>
            <w:r>
              <w:rPr>
                <w:sz w:val="20"/>
              </w:rPr>
              <w:t>S6 → S10</w:t>
            </w:r>
          </w:p>
        </w:tc>
      </w:tr>
      <w:tr>
        <w:tc>
          <w:tcPr>
            <w:tcW w:type="dxa" w:w="2436"/>
          </w:tcPr>
          <w:p>
            <w:r>
              <w:rPr>
                <w:sz w:val="20"/>
              </w:rPr>
              <w:t>E7 — Panels web Admin/Agent/Super</w:t>
            </w:r>
          </w:p>
        </w:tc>
        <w:tc>
          <w:tcPr>
            <w:tcW w:type="dxa" w:w="2436"/>
          </w:tcPr>
          <w:p>
            <w:r>
              <w:rPr>
                <w:sz w:val="20"/>
              </w:rPr>
              <w:t>10</w:t>
            </w:r>
          </w:p>
        </w:tc>
        <w:tc>
          <w:tcPr>
            <w:tcW w:type="dxa" w:w="2436"/>
          </w:tcPr>
          <w:p>
            <w:r>
              <w:rPr>
                <w:sz w:val="20"/>
              </w:rPr>
              <w:t>P1</w:t>
            </w:r>
          </w:p>
        </w:tc>
        <w:tc>
          <w:tcPr>
            <w:tcW w:type="dxa" w:w="2436"/>
          </w:tcPr>
          <w:p>
            <w:r>
              <w:rPr>
                <w:sz w:val="20"/>
              </w:rPr>
              <w:t>S8 → S11</w:t>
            </w:r>
          </w:p>
        </w:tc>
      </w:tr>
      <w:tr>
        <w:tc>
          <w:tcPr>
            <w:tcW w:type="dxa" w:w="2436"/>
          </w:tcPr>
          <w:p>
            <w:r>
              <w:rPr>
                <w:sz w:val="20"/>
              </w:rPr>
              <w:t>E8 — Notifications push/email/sms</w:t>
            </w:r>
          </w:p>
        </w:tc>
        <w:tc>
          <w:tcPr>
            <w:tcW w:type="dxa" w:w="2436"/>
          </w:tcPr>
          <w:p>
            <w:r>
              <w:rPr>
                <w:sz w:val="20"/>
              </w:rPr>
              <w:t>7</w:t>
            </w:r>
          </w:p>
        </w:tc>
        <w:tc>
          <w:tcPr>
            <w:tcW w:type="dxa" w:w="2436"/>
          </w:tcPr>
          <w:p>
            <w:r>
              <w:rPr>
                <w:sz w:val="20"/>
              </w:rPr>
              <w:t>P1</w:t>
            </w:r>
          </w:p>
        </w:tc>
        <w:tc>
          <w:tcPr>
            <w:tcW w:type="dxa" w:w="2436"/>
          </w:tcPr>
          <w:p>
            <w:r>
              <w:rPr>
                <w:sz w:val="20"/>
              </w:rPr>
              <w:t>S6 → S9</w:t>
            </w:r>
          </w:p>
        </w:tc>
      </w:tr>
      <w:tr>
        <w:tc>
          <w:tcPr>
            <w:tcW w:type="dxa" w:w="2436"/>
          </w:tcPr>
          <w:p>
            <w:r>
              <w:rPr>
                <w:sz w:val="20"/>
              </w:rPr>
              <w:t>E9 — i18n + dark mode</w:t>
            </w:r>
          </w:p>
        </w:tc>
        <w:tc>
          <w:tcPr>
            <w:tcW w:type="dxa" w:w="2436"/>
          </w:tcPr>
          <w:p>
            <w:r>
              <w:rPr>
                <w:sz w:val="20"/>
              </w:rPr>
              <w:t>6</w:t>
            </w:r>
          </w:p>
        </w:tc>
        <w:tc>
          <w:tcPr>
            <w:tcW w:type="dxa" w:w="2436"/>
          </w:tcPr>
          <w:p>
            <w:r>
              <w:rPr>
                <w:sz w:val="20"/>
              </w:rPr>
              <w:t>P1</w:t>
            </w:r>
          </w:p>
        </w:tc>
        <w:tc>
          <w:tcPr>
            <w:tcW w:type="dxa" w:w="2436"/>
          </w:tcPr>
          <w:p>
            <w:r>
              <w:rPr>
                <w:sz w:val="20"/>
              </w:rPr>
              <w:t>S9 → S11</w:t>
            </w:r>
          </w:p>
        </w:tc>
      </w:tr>
      <w:tr>
        <w:tc>
          <w:tcPr>
            <w:tcW w:type="dxa" w:w="2436"/>
          </w:tcPr>
          <w:p>
            <w:r>
              <w:rPr>
                <w:sz w:val="20"/>
              </w:rPr>
              <w:t>E10 — Biométrie + sécurité avancée</w:t>
            </w:r>
          </w:p>
        </w:tc>
        <w:tc>
          <w:tcPr>
            <w:tcW w:type="dxa" w:w="2436"/>
          </w:tcPr>
          <w:p>
            <w:r>
              <w:rPr>
                <w:sz w:val="20"/>
              </w:rPr>
              <w:t>5</w:t>
            </w:r>
          </w:p>
        </w:tc>
        <w:tc>
          <w:tcPr>
            <w:tcW w:type="dxa" w:w="2436"/>
          </w:tcPr>
          <w:p>
            <w:r>
              <w:rPr>
                <w:sz w:val="20"/>
              </w:rPr>
              <w:t>P1</w:t>
            </w:r>
          </w:p>
        </w:tc>
        <w:tc>
          <w:tcPr>
            <w:tcW w:type="dxa" w:w="2436"/>
          </w:tcPr>
          <w:p>
            <w:r>
              <w:rPr>
                <w:sz w:val="20"/>
              </w:rPr>
              <w:t>S10 → S12</w:t>
            </w:r>
          </w:p>
        </w:tc>
      </w:tr>
      <w:tr>
        <w:tc>
          <w:tcPr>
            <w:tcW w:type="dxa" w:w="2436"/>
          </w:tcPr>
          <w:p>
            <w:r>
              <w:rPr>
                <w:sz w:val="20"/>
              </w:rPr>
              <w:t>E11 — Programme fidélité agents</w:t>
            </w:r>
          </w:p>
        </w:tc>
        <w:tc>
          <w:tcPr>
            <w:tcW w:type="dxa" w:w="2436"/>
          </w:tcPr>
          <w:p>
            <w:r>
              <w:rPr>
                <w:sz w:val="20"/>
              </w:rPr>
              <w:t>4</w:t>
            </w:r>
          </w:p>
        </w:tc>
        <w:tc>
          <w:tcPr>
            <w:tcW w:type="dxa" w:w="2436"/>
          </w:tcPr>
          <w:p>
            <w:r>
              <w:rPr>
                <w:sz w:val="20"/>
              </w:rPr>
              <w:t>P2</w:t>
            </w:r>
          </w:p>
        </w:tc>
        <w:tc>
          <w:tcPr>
            <w:tcW w:type="dxa" w:w="2436"/>
          </w:tcPr>
          <w:p>
            <w:r>
              <w:rPr>
                <w:sz w:val="20"/>
              </w:rPr>
              <w:t>S12 → S14</w:t>
            </w:r>
          </w:p>
        </w:tc>
      </w:tr>
      <w:tr>
        <w:tc>
          <w:tcPr>
            <w:tcW w:type="dxa" w:w="2436"/>
          </w:tcPr>
          <w:p>
            <w:r>
              <w:rPr>
                <w:sz w:val="20"/>
              </w:rPr>
              <w:t>E12 — Réconciliation comptable</w:t>
            </w:r>
          </w:p>
        </w:tc>
        <w:tc>
          <w:tcPr>
            <w:tcW w:type="dxa" w:w="2436"/>
          </w:tcPr>
          <w:p>
            <w:r>
              <w:rPr>
                <w:sz w:val="20"/>
              </w:rPr>
              <w:t>6</w:t>
            </w:r>
          </w:p>
        </w:tc>
        <w:tc>
          <w:tcPr>
            <w:tcW w:type="dxa" w:w="2436"/>
          </w:tcPr>
          <w:p>
            <w:r>
              <w:rPr>
                <w:sz w:val="20"/>
              </w:rPr>
              <w:t>P2</w:t>
            </w:r>
          </w:p>
        </w:tc>
        <w:tc>
          <w:tcPr>
            <w:tcW w:type="dxa" w:w="2436"/>
          </w:tcPr>
          <w:p>
            <w:r>
              <w:rPr>
                <w:sz w:val="20"/>
              </w:rPr>
              <w:t>S11 → S13</w:t>
            </w:r>
          </w:p>
        </w:tc>
      </w:tr>
    </w:tbl>
    <w:p>
      <w:pPr>
        <w:pStyle w:val="Heading1"/>
      </w:pPr>
      <w:r>
        <w:rPr>
          <w:color w:val="011645"/>
          <w:sz w:val="40"/>
        </w:rPr>
        <w:t>3. User stories détaillées (échantillon)</w:t>
      </w:r>
    </w:p>
    <w:p>
      <w:pPr>
        <w:pStyle w:val="Heading2"/>
      </w:pPr>
      <w:r>
        <w:rPr>
          <w:color w:val="022A6B"/>
          <w:sz w:val="30"/>
        </w:rPr>
        <w:t>US-105 — Démarrer une enchère depuis l'app client</w:t>
      </w:r>
    </w:p>
    <w:p>
      <w:r>
        <w:rPr>
          <w:b w:val="0"/>
          <w:i w:val="0"/>
        </w:rPr>
        <w:t>En tant que client KYC Tier ≥ 1 avec solde suffisant, je veux pouvoir démarrer une enchère de 30 secondes en sélectionnant un montant, un bénéficiaire et un mode de livraison, afin d'obtenir le meilleur frais agent disponible.</w:t>
      </w:r>
    </w:p>
    <w:p>
      <w:r>
        <w:rPr>
          <w:b/>
          <w:i w:val="0"/>
        </w:rPr>
        <w:t>Critères d'acceptation :</w:t>
      </w:r>
    </w:p>
    <w:p>
      <w:pPr>
        <w:pStyle w:val="ListBullet"/>
      </w:pPr>
      <w:r>
        <w:t>Le bouton « Démarrer l'enchère » est désactivé si solde &lt; montant + frais plate-forme.</w:t>
      </w:r>
    </w:p>
    <w:p>
      <w:pPr>
        <w:pStyle w:val="ListBullet"/>
      </w:pPr>
      <w:r>
        <w:t>Le bouton est désactivé si aucun bénéficiaire n'est sélectionné.</w:t>
      </w:r>
    </w:p>
    <w:p>
      <w:pPr>
        <w:pStyle w:val="ListBullet"/>
      </w:pPr>
      <w:r>
        <w:t>Au clic, le statut du transfert passe à BIDDING + chrono 30s démarre.</w:t>
      </w:r>
    </w:p>
    <w:p>
      <w:pPr>
        <w:pStyle w:val="ListBullet"/>
      </w:pPr>
      <w:r>
        <w:t>Un événement WebSocket est broadcasté à tous les agents du corridor.</w:t>
      </w:r>
    </w:p>
    <w:p>
      <w:pPr>
        <w:pStyle w:val="ListBullet"/>
      </w:pPr>
      <w:r>
        <w:t>Si aucun bid n'est reçu après 30s, un bandeau propose « Relancer un round » (max 3).</w:t>
      </w:r>
    </w:p>
    <w:p>
      <w:pPr>
        <w:pStyle w:val="ListBullet"/>
      </w:pPr>
      <w:r>
        <w:t>L'animation du chrono est visible et précise (mise à jour chaque seconde).</w:t>
      </w:r>
    </w:p>
    <w:p>
      <w:r>
        <w:rPr>
          <w:b/>
          <w:i w:val="0"/>
        </w:rPr>
        <w:t>Dépendances :</w:t>
      </w:r>
    </w:p>
    <w:p>
      <w:pPr>
        <w:pStyle w:val="ListBullet"/>
      </w:pPr>
      <w:r>
        <w:t>US-090 (création du wallet)</w:t>
      </w:r>
    </w:p>
    <w:p>
      <w:pPr>
        <w:pStyle w:val="ListBullet"/>
      </w:pPr>
      <w:r>
        <w:t>US-095 (gestion solde)</w:t>
      </w:r>
    </w:p>
    <w:p>
      <w:pPr>
        <w:pStyle w:val="ListBullet"/>
      </w:pPr>
      <w:r>
        <w:t>US-100 (bénéficiaire valide)</w:t>
      </w:r>
    </w:p>
    <w:p>
      <w:pPr>
        <w:pStyle w:val="ListBullet"/>
      </w:pPr>
      <w:r>
        <w:t>US-130 (broadcast WebSocket agent)</w:t>
      </w:r>
    </w:p>
    <w:p>
      <w:pPr>
        <w:pStyle w:val="Heading2"/>
      </w:pPr>
      <w:r>
        <w:rPr>
          <w:color w:val="022A6B"/>
          <w:sz w:val="30"/>
        </w:rPr>
        <w:t>US-180 — Soumettre un bid en tant qu'agent</w:t>
      </w:r>
    </w:p>
    <w:p>
      <w:r>
        <w:rPr>
          <w:b w:val="0"/>
          <w:i w:val="0"/>
        </w:rPr>
        <w:t>En tant qu'agent PAYBID approuvé et en ligne, je veux pouvoir soumettre un bid (taux de commission) sur une enchère active dans mon corridor, afin de remporter le transfert et générer une commission.</w:t>
      </w:r>
    </w:p>
    <w:p>
      <w:r>
        <w:rPr>
          <w:b/>
          <w:i w:val="0"/>
        </w:rPr>
        <w:t>Critères d'acceptation :</w:t>
      </w:r>
    </w:p>
    <w:p>
      <w:pPr>
        <w:pStyle w:val="ListBullet"/>
      </w:pPr>
      <w:r>
        <w:t>Le formulaire bid est accessible uniquement aux agents status=approved.</w:t>
      </w:r>
    </w:p>
    <w:p>
      <w:pPr>
        <w:pStyle w:val="ListBullet"/>
      </w:pPr>
      <w:r>
        <w:t>Le taux saisi doit être entre frais_min_corridor et frais_max_corridor.</w:t>
      </w:r>
    </w:p>
    <w:p>
      <w:pPr>
        <w:pStyle w:val="ListBullet"/>
      </w:pPr>
      <w:r>
        <w:t>L'agent ne peut pas soumettre plus de 3 bids sur une même enchère.</w:t>
      </w:r>
    </w:p>
    <w:p>
      <w:pPr>
        <w:pStyle w:val="ListBullet"/>
      </w:pPr>
      <w:r>
        <w:t>Le bid soumis est immédiatement visible côté client (latence WebSocket &lt; 200ms).</w:t>
      </w:r>
    </w:p>
    <w:p>
      <w:pPr>
        <w:pStyle w:val="ListBullet"/>
      </w:pPr>
      <w:r>
        <w:t>Un toast de confirmation s'affiche côté agent après chaque soumission.</w:t>
      </w:r>
    </w:p>
    <w:p>
      <w:pPr>
        <w:pStyle w:val="ListBullet"/>
      </w:pPr>
      <w:r>
        <w:t>Si l'enchère est déjà finie quand le bid arrive, message d'erreur clair.</w:t>
      </w:r>
    </w:p>
    <w:p>
      <w:pPr>
        <w:pStyle w:val="Heading1"/>
      </w:pPr>
      <w:r>
        <w:rPr>
          <w:color w:val="011645"/>
          <w:sz w:val="40"/>
        </w:rPr>
        <w:t>4. Priorisation et dépendances</w:t>
      </w:r>
    </w:p>
    <w:p>
      <w:r>
        <w:rPr>
          <w:b w:val="0"/>
          <w:i w:val="0"/>
        </w:rPr>
        <w:t>La priorisation suit la méthode RICE (Reach × Impact × Confidence / Effort).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022A6B"/>
          </w:tcPr>
          <w:p>
            <w:r>
              <w:rPr>
                <w:b/>
                <w:color w:val="FFFFFF"/>
                <w:sz w:val="20"/>
              </w:rPr>
              <w:t>Story type</w:t>
            </w:r>
          </w:p>
        </w:tc>
        <w:tc>
          <w:tcPr>
            <w:tcW w:type="dxa" w:w="1949"/>
            <w:shd w:val="clear" w:color="auto" w:fill="022A6B"/>
          </w:tcPr>
          <w:p>
            <w:r>
              <w:rPr>
                <w:b/>
                <w:color w:val="FFFFFF"/>
                <w:sz w:val="20"/>
              </w:rPr>
              <w:t>P0 (must)</w:t>
            </w:r>
          </w:p>
        </w:tc>
        <w:tc>
          <w:tcPr>
            <w:tcW w:type="dxa" w:w="1949"/>
            <w:shd w:val="clear" w:color="auto" w:fill="022A6B"/>
          </w:tcPr>
          <w:p>
            <w:r>
              <w:rPr>
                <w:b/>
                <w:color w:val="FFFFFF"/>
                <w:sz w:val="20"/>
              </w:rPr>
              <w:t>P1 (should)</w:t>
            </w:r>
          </w:p>
        </w:tc>
        <w:tc>
          <w:tcPr>
            <w:tcW w:type="dxa" w:w="1949"/>
            <w:shd w:val="clear" w:color="auto" w:fill="022A6B"/>
          </w:tcPr>
          <w:p>
            <w:r>
              <w:rPr>
                <w:b/>
                <w:color w:val="FFFFFF"/>
                <w:sz w:val="20"/>
              </w:rPr>
              <w:t>P2 (could)</w:t>
            </w:r>
          </w:p>
        </w:tc>
        <w:tc>
          <w:tcPr>
            <w:tcW w:type="dxa" w:w="1949"/>
            <w:shd w:val="clear" w:color="auto" w:fill="022A6B"/>
          </w:tcPr>
          <w:p>
            <w:r>
              <w:rPr>
                <w:b/>
                <w:color w:val="FFFFFF"/>
                <w:sz w:val="20"/>
              </w:rPr>
              <w:t>P3 (won't)</w:t>
            </w:r>
          </w:p>
        </w:tc>
      </w:tr>
      <w:tr>
        <w:tc>
          <w:tcPr>
            <w:tcW w:type="dxa" w:w="1949"/>
          </w:tcPr>
          <w:p>
            <w:r>
              <w:rPr>
                <w:sz w:val="20"/>
              </w:rPr>
              <w:t>Engagement utilisateur</w:t>
            </w:r>
          </w:p>
        </w:tc>
        <w:tc>
          <w:tcPr>
            <w:tcW w:type="dxa" w:w="1949"/>
          </w:tcPr>
          <w:p>
            <w:r>
              <w:rPr>
                <w:sz w:val="20"/>
              </w:rPr>
              <w:t>Inscription, KYC Tier 1, transfert simple</w:t>
            </w:r>
          </w:p>
        </w:tc>
        <w:tc>
          <w:tcPr>
            <w:tcW w:type="dxa" w:w="1949"/>
          </w:tcPr>
          <w:p>
            <w:r>
              <w:rPr>
                <w:sz w:val="20"/>
              </w:rPr>
              <w:t>Notifications push</w:t>
            </w:r>
          </w:p>
        </w:tc>
        <w:tc>
          <w:tcPr>
            <w:tcW w:type="dxa" w:w="1949"/>
          </w:tcPr>
          <w:p>
            <w:r>
              <w:rPr>
                <w:sz w:val="20"/>
              </w:rPr>
              <w:t>Programme fidélité</w:t>
            </w:r>
          </w:p>
        </w:tc>
        <w:tc>
          <w:tcPr>
            <w:tcW w:type="dxa" w:w="1949"/>
          </w:tcPr>
          <w:p>
            <w:r>
              <w:rPr>
                <w:sz w:val="20"/>
              </w:rPr>
              <w:t>B2B API</w:t>
            </w:r>
          </w:p>
        </w:tc>
      </w:tr>
      <w:tr>
        <w:tc>
          <w:tcPr>
            <w:tcW w:type="dxa" w:w="1949"/>
          </w:tcPr>
          <w:p>
            <w:r>
              <w:rPr>
                <w:sz w:val="20"/>
              </w:rPr>
              <w:t>Mécanisme produit</w:t>
            </w:r>
          </w:p>
        </w:tc>
        <w:tc>
          <w:tcPr>
            <w:tcW w:type="dxa" w:w="1949"/>
          </w:tcPr>
          <w:p>
            <w:r>
              <w:rPr>
                <w:sz w:val="20"/>
              </w:rPr>
              <w:t>Enchère 30s, sélection agent, remise QR</w:t>
            </w:r>
          </w:p>
        </w:tc>
        <w:tc>
          <w:tcPr>
            <w:tcW w:type="dxa" w:w="1949"/>
          </w:tcPr>
          <w:p>
            <w:r>
              <w:rPr>
                <w:sz w:val="20"/>
              </w:rPr>
              <w:t>Multi-rounds, recommandation IA</w:t>
            </w:r>
          </w:p>
        </w:tc>
        <w:tc>
          <w:tcPr>
            <w:tcW w:type="dxa" w:w="1949"/>
          </w:tcPr>
          <w:p>
            <w:r>
              <w:rPr>
                <w:sz w:val="20"/>
              </w:rPr>
              <w:t>Mode hors-ligne</w:t>
            </w:r>
          </w:p>
        </w:tc>
        <w:tc>
          <w:tcPr>
            <w:tcW w:type="dxa" w:w="1949"/>
          </w:tcPr>
          <w:p>
            <w:r>
              <w:rPr>
                <w:sz w:val="20"/>
              </w:rPr>
              <w:t>Crypto</w:t>
            </w:r>
          </w:p>
        </w:tc>
      </w:tr>
      <w:tr>
        <w:tc>
          <w:tcPr>
            <w:tcW w:type="dxa" w:w="1949"/>
          </w:tcPr>
          <w:p>
            <w:r>
              <w:rPr>
                <w:sz w:val="20"/>
              </w:rPr>
              <w:t>Sécurité</w:t>
            </w:r>
          </w:p>
        </w:tc>
        <w:tc>
          <w:tcPr>
            <w:tcW w:type="dxa" w:w="1949"/>
          </w:tcPr>
          <w:p>
            <w:r>
              <w:rPr>
                <w:sz w:val="20"/>
              </w:rPr>
              <w:t>JWT, bcrypt, PIN, OTP, audit log</w:t>
            </w:r>
          </w:p>
        </w:tc>
        <w:tc>
          <w:tcPr>
            <w:tcW w:type="dxa" w:w="1949"/>
          </w:tcPr>
          <w:p>
            <w:r>
              <w:rPr>
                <w:sz w:val="20"/>
              </w:rPr>
              <w:t>Biométrie native, 2FA email</w:t>
            </w:r>
          </w:p>
        </w:tc>
        <w:tc>
          <w:tcPr>
            <w:tcW w:type="dxa" w:w="1949"/>
          </w:tcPr>
          <w:p>
            <w:r>
              <w:rPr>
                <w:sz w:val="20"/>
              </w:rPr>
              <w:t>Geo-blocking, fraud score IA</w:t>
            </w:r>
          </w:p>
        </w:tc>
        <w:tc>
          <w:tcPr>
            <w:tcW w:type="dxa" w:w="1949"/>
          </w:tcPr>
          <w:p>
            <w:r>
              <w:rPr>
                <w:sz w:val="20"/>
              </w:rPr>
              <w:t>Hardware token</w:t>
            </w:r>
          </w:p>
        </w:tc>
      </w:tr>
      <w:tr>
        <w:tc>
          <w:tcPr>
            <w:tcW w:type="dxa" w:w="1949"/>
          </w:tcPr>
          <w:p>
            <w:r>
              <w:rPr>
                <w:sz w:val="20"/>
              </w:rPr>
              <w:t>Conformité</w:t>
            </w:r>
          </w:p>
        </w:tc>
        <w:tc>
          <w:tcPr>
            <w:tcW w:type="dxa" w:w="1949"/>
          </w:tcPr>
          <w:p>
            <w:r>
              <w:rPr>
                <w:sz w:val="20"/>
              </w:rPr>
              <w:t>KYC 3 tiers, plafonds, sanctions screening</w:t>
            </w:r>
          </w:p>
        </w:tc>
        <w:tc>
          <w:tcPr>
            <w:tcW w:type="dxa" w:w="1949"/>
          </w:tcPr>
          <w:p>
            <w:r>
              <w:rPr>
                <w:sz w:val="20"/>
              </w:rPr>
              <w:t>Déclaration TRACFIN auto</w:t>
            </w:r>
          </w:p>
        </w:tc>
        <w:tc>
          <w:tcPr>
            <w:tcW w:type="dxa" w:w="1949"/>
          </w:tcPr>
          <w:p>
            <w:r>
              <w:rPr>
                <w:sz w:val="20"/>
              </w:rPr>
              <w:t>Reporting BCE</w:t>
            </w:r>
          </w:p>
        </w:tc>
        <w:tc>
          <w:tcPr>
            <w:tcW w:type="dxa" w:w="1949"/>
          </w:tcPr>
          <w:p>
            <w:r>
              <w:rPr>
                <w:sz w:val="20"/>
              </w:rPr>
              <w:t>Crypto AML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