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22A6B"/>
          <w:sz w:val="40"/>
        </w:rPr>
        <w:t xml:space="preserve">SENDFLOO </w:t>
      </w:r>
      <w:r>
        <w:rPr>
          <w:color w:val="6E769A"/>
          <w:sz w:val="26"/>
        </w:rPr>
        <w:t>· documentation projet</w:t>
      </w:r>
    </w:p>
    <w:p/>
    <w:p/>
    <w:p/>
    <w:p/>
    <w:p/>
    <w:p/>
    <w:p>
      <w:pPr>
        <w:jc w:val="left"/>
      </w:pPr>
      <w:r>
        <w:rPr>
          <w:b/>
          <w:color w:val="011645"/>
          <w:sz w:val="72"/>
        </w:rPr>
        <w:t>Architecture applicative &amp; intégration</w:t>
      </w:r>
    </w:p>
    <w:p>
      <w:pPr>
        <w:jc w:val="left"/>
      </w:pPr>
      <w:r>
        <w:rPr>
          <w:color w:val="363F5C"/>
          <w:sz w:val="32"/>
        </w:rPr>
        <w:t>SendFloo — Contrats API, séquences, gestion erreurs, réconciliation</w:t>
      </w:r>
    </w:p>
    <w:p/>
    <w:p/>
    <w:p/>
    <w:p/>
    <w:p/>
    <w:p/>
    <w:p/>
    <w:p/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Code document</w:t>
            </w:r>
          </w:p>
        </w:tc>
        <w:tc>
          <w:tcPr>
            <w:tcW w:type="dxa" w:w="4873"/>
          </w:tcPr>
          <w:p>
            <w:r>
              <w:t>SF-TEC-AAI-002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Version</w:t>
            </w:r>
          </w:p>
        </w:tc>
        <w:tc>
          <w:tcPr>
            <w:tcW w:type="dxa" w:w="4873"/>
          </w:tcPr>
          <w:p>
            <w:r>
              <w:t>1.0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Date d'édition</w:t>
            </w:r>
          </w:p>
        </w:tc>
        <w:tc>
          <w:tcPr>
            <w:tcW w:type="dxa" w:w="4873"/>
          </w:tcPr>
          <w:p>
            <w:r>
              <w:t>03/06/2026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Auteur(s)</w:t>
            </w:r>
          </w:p>
        </w:tc>
        <w:tc>
          <w:tcPr>
            <w:tcW w:type="dxa" w:w="4873"/>
          </w:tcPr>
          <w:p>
            <w:r>
              <w:t>Direction Produit SendFloo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Destinataires</w:t>
            </w:r>
          </w:p>
        </w:tc>
        <w:tc>
          <w:tcPr>
            <w:tcW w:type="dxa" w:w="4873"/>
          </w:tcPr>
          <w:p>
            <w:r>
              <w:t>Comité de Pilotage, Équipes Technique &amp; Métier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011645"/>
        </w:rPr>
        <w:t>Sommaire</w:t>
      </w:r>
    </w:p>
    <w:p>
      <w:r>
        <w:rPr>
          <w:b/>
          <w:color w:val="011645"/>
          <w:sz w:val="22"/>
        </w:rPr>
        <w:t>1. Contrats d'API</w:t>
      </w:r>
    </w:p>
    <w:p>
      <w:r>
        <w:rPr>
          <w:b/>
          <w:color w:val="011645"/>
          <w:sz w:val="22"/>
        </w:rPr>
        <w:t>2. Séquences d'appel</w:t>
      </w:r>
    </w:p>
    <w:p>
      <w:r>
        <w:rPr>
          <w:b/>
          <w:color w:val="011645"/>
          <w:sz w:val="22"/>
        </w:rPr>
        <w:t>3. Mapping des données</w:t>
      </w:r>
    </w:p>
    <w:p>
      <w:r>
        <w:rPr>
          <w:b/>
          <w:color w:val="011645"/>
          <w:sz w:val="22"/>
        </w:rPr>
        <w:t>4. Gestion des erreurs</w:t>
      </w:r>
    </w:p>
    <w:p>
      <w:r>
        <w:rPr>
          <w:b/>
          <w:color w:val="011645"/>
          <w:sz w:val="22"/>
        </w:rPr>
        <w:t>5. Timeouts et retries</w:t>
      </w:r>
    </w:p>
    <w:p>
      <w:r>
        <w:rPr>
          <w:b/>
          <w:color w:val="011645"/>
          <w:sz w:val="22"/>
        </w:rPr>
        <w:t>6. Idempotence</w:t>
      </w:r>
    </w:p>
    <w:p>
      <w:r>
        <w:rPr>
          <w:b/>
          <w:color w:val="011645"/>
          <w:sz w:val="22"/>
        </w:rPr>
        <w:t>7. Mécanismes de réconciliation</w:t>
      </w:r>
    </w:p>
    <w:p>
      <w:r>
        <w:br w:type="page"/>
      </w:r>
    </w:p>
    <w:p>
      <w:pPr>
        <w:pStyle w:val="Heading1"/>
      </w:pPr>
      <w:r>
        <w:rPr>
          <w:color w:val="011645"/>
          <w:sz w:val="40"/>
        </w:rPr>
        <w:t>1. Contrats d'API</w:t>
      </w:r>
    </w:p>
    <w:p>
      <w:r>
        <w:rPr>
          <w:b w:val="0"/>
          <w:i w:val="0"/>
        </w:rPr>
        <w:t>Tous les contrats d'API sont versionnés par préfixe d'URL (/api/v1/, /api/v2/...). Aucun breaking change sur une version existante : si un endpoint évolue, une nouvelle version est créée.</w:t>
      </w:r>
    </w:p>
    <w:p>
      <w:pPr>
        <w:pStyle w:val="Heading2"/>
      </w:pPr>
      <w:r>
        <w:rPr>
          <w:color w:val="022A6B"/>
          <w:sz w:val="30"/>
        </w:rPr>
        <w:t>1.1 Endpoint de transfert (exemple)</w:t>
      </w:r>
    </w:p>
    <w:p>
      <w:r>
        <w:rPr>
          <w:b/>
          <w:i w:val="0"/>
        </w:rPr>
        <w:t>POST /api/transfers/initiate</w:t>
      </w:r>
    </w:p>
    <w:p>
      <w:r>
        <w:rPr>
          <w:b w:val="0"/>
          <w:i w:val="0"/>
        </w:rPr>
        <w:t>Headers : Authorization: Bearer &lt;JWT&gt; ; Content-Type: application/json ; X-Idempotency-Key: &lt;uuid&gt;</w:t>
      </w:r>
    </w:p>
    <w:p>
      <w:r>
        <w:rPr>
          <w:b w:val="0"/>
          <w:i w:val="0"/>
        </w:rPr>
        <w:t>Body (JSON)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Champ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Obligatoire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beneficiary_id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Oui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ID bénéficiaire enregistré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amount_eur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Oui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Montant en EUR (5 à 20 000)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destination_country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Oui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Code ISO 3166-1 alpha-2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destination_city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Oui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Ville cible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delivery_mode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Oui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cash | bank | momo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max_fee_percent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Borne max acceptée (default = corridor max)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note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Message libre pour le bénéficiaire</w:t>
            </w:r>
          </w:p>
        </w:tc>
      </w:tr>
    </w:tbl>
    <w:p>
      <w:r>
        <w:rPr>
          <w:b/>
          <w:i w:val="0"/>
        </w:rPr>
        <w:t>Réponses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Cas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Body type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201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Transfert créé en BIDDING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TransferInitiated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Validation échec (montant, corridor)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ValidationError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JWT invalide ou expiré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AuthError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402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Solde insuffisant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InsufficientFundsError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403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KYC Tier insuffisant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KycRequiredError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409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Idempotency key déjà vue (replay)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TransferInitiated (existant)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503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Aucun agent disponible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NoAgentError</w:t>
            </w:r>
          </w:p>
        </w:tc>
      </w:tr>
    </w:tbl>
    <w:p>
      <w:pPr>
        <w:pStyle w:val="Heading1"/>
      </w:pPr>
      <w:r>
        <w:rPr>
          <w:color w:val="011645"/>
          <w:sz w:val="40"/>
        </w:rPr>
        <w:t>2. Séquences d'appel</w:t>
      </w:r>
    </w:p>
    <w:p>
      <w:r>
        <w:rPr>
          <w:b w:val="0"/>
          <w:i w:val="0"/>
        </w:rPr>
        <w:t>Séquence détaillée d'un transfert complet, du démarrage à la complétion :</w:t>
      </w:r>
    </w:p>
    <w:p>
      <w:pPr>
        <w:pStyle w:val="ListNumber"/>
      </w:pPr>
      <w:r>
        <w:t>Client app → POST /api/transfers/initiate (avec idempotency-key)</w:t>
      </w:r>
    </w:p>
    <w:p>
      <w:pPr>
        <w:pStyle w:val="ListNumber"/>
      </w:pPr>
      <w:r>
        <w:t>Backend → débit wallet de montant + frais_plate-forme (réservation, statut=BIDDING)</w:t>
      </w:r>
    </w:p>
    <w:p>
      <w:pPr>
        <w:pStyle w:val="ListNumber"/>
      </w:pPr>
      <w:r>
        <w:t>Backend → broadcast WS 'auction:new' à tous agents du corridor</w:t>
      </w:r>
    </w:p>
    <w:p>
      <w:pPr>
        <w:pStyle w:val="ListNumber"/>
      </w:pPr>
      <w:r>
        <w:t>Agents → reçoivent l'event + 30 sec pour bidder</w:t>
      </w:r>
    </w:p>
    <w:p>
      <w:pPr>
        <w:pStyle w:val="ListNumber"/>
      </w:pPr>
      <w:r>
        <w:t>Agent app → POST /api/transfers/{id}/bid</w:t>
      </w:r>
    </w:p>
    <w:p>
      <w:pPr>
        <w:pStyle w:val="ListNumber"/>
      </w:pPr>
      <w:r>
        <w:t>Backend → validation taux, persist, broadcast WS 'auction:bid' au client</w:t>
      </w:r>
    </w:p>
    <w:p>
      <w:pPr>
        <w:pStyle w:val="ListNumber"/>
      </w:pPr>
      <w:r>
        <w:t>Après 30 sec ou sélection client → POST /api/transfers/{id}/select</w:t>
      </w:r>
    </w:p>
    <w:p>
      <w:pPr>
        <w:pStyle w:val="ListNumber"/>
      </w:pPr>
      <w:r>
        <w:t>Backend → assigne agent, génère code retrait, statut=AGENT_ASSIGNED, notif push agent</w:t>
      </w:r>
    </w:p>
    <w:p>
      <w:pPr>
        <w:pStyle w:val="ListNumber"/>
      </w:pPr>
      <w:r>
        <w:t>Agent → physique pickup → scan QR → POST /api/transfers/{id}/verify-pickup</w:t>
      </w:r>
    </w:p>
    <w:p>
      <w:pPr>
        <w:pStyle w:val="ListNumber"/>
      </w:pPr>
      <w:r>
        <w:t>Backend → vérifie HMAC QR + KYC bénéficiaire + crédit commission agent + statut=COMPLETED</w:t>
      </w:r>
    </w:p>
    <w:p>
      <w:pPr>
        <w:pStyle w:val="ListNumber"/>
      </w:pPr>
      <w:r>
        <w:t>Backend → notif push client + email bénéficiaire (si défini)</w:t>
      </w:r>
    </w:p>
    <w:p>
      <w:pPr>
        <w:pStyle w:val="Heading1"/>
      </w:pPr>
      <w:r>
        <w:rPr>
          <w:color w:val="011645"/>
          <w:sz w:val="40"/>
        </w:rPr>
        <w:t>3. Mapping des données</w:t>
      </w:r>
    </w:p>
    <w:p>
      <w:r>
        <w:rPr>
          <w:b w:val="0"/>
          <w:i w:val="0"/>
        </w:rPr>
        <w:t>Tous les payloads suivent le mapping snake_case → camelCase n'est pas appliqué. Backend et clients utilisent snake_case partout pour cohérence.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Type interne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Représentation JSON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Format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ISO 8601 UTC : '2026-06-03T14:30:00Z'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Decimal (currency)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Float avec 2 décimales : 12.50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v4 hex : '550e8400-e29b-41d4-a716-446655440000'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Enum statut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string uppercase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'BIDDING', 'COMPLETED', etc.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Pays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ISO 3166-1 alpha-2 majuscules : 'FR', 'CM'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Devise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ISO 4217 : 'EUR', 'XAF', 'XOF', 'NGN', 'MAD'</w:t>
            </w:r>
          </w:p>
        </w:tc>
      </w:tr>
    </w:tbl>
    <w:p>
      <w:pPr>
        <w:pStyle w:val="Heading1"/>
      </w:pPr>
      <w:r>
        <w:rPr>
          <w:color w:val="011645"/>
          <w:sz w:val="40"/>
        </w:rPr>
        <w:t>4. Gestion des erreurs</w:t>
      </w:r>
    </w:p>
    <w:p>
      <w:r>
        <w:rPr>
          <w:b w:val="0"/>
          <w:i w:val="0"/>
        </w:rPr>
        <w:t>Toutes les erreurs suivent le format standard :</w:t>
      </w:r>
    </w:p>
    <w:p>
      <w:r>
        <w:rPr>
          <w:b w:val="0"/>
          <w:i w:val="0"/>
        </w:rPr>
        <w:t>{ 'error': { 'code': 'KYC-001', 'message': 'Tier insuffisant', 'detail': '...', 'request_id': '...' } }</w:t>
      </w:r>
    </w:p>
    <w:p>
      <w:r>
        <w:rPr>
          <w:b w:val="0"/>
          <w:i w:val="0"/>
        </w:rPr>
        <w:t>Le champ 'request_id' permet à l'équipe support de tracer rapidement un cas client.</w:t>
      </w:r>
    </w:p>
    <w:p>
      <w:pPr>
        <w:pStyle w:val="Heading1"/>
      </w:pPr>
      <w:r>
        <w:rPr>
          <w:color w:val="011645"/>
          <w:sz w:val="40"/>
        </w:rPr>
        <w:t>5. Timeouts et retries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Type d'appel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Timeout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Retries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Backoff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Backend → Stripe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30s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Exponentiel (1s, 4s, 16s)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Backend → PayPal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30s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Exponentiel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Backend → Twilio SMS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10s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Linéaire (2s)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Backend → SendGrid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15s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Exponentiel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Backend → MTN MoMo API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20s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Exponentiel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Client → Backend (REST)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60s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2 sur 5xx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Linéaire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Client → Backend (WS)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Idle 60s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Reconnect auto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Linéaire + jitter</w:t>
            </w:r>
          </w:p>
        </w:tc>
      </w:tr>
    </w:tbl>
    <w:p>
      <w:pPr>
        <w:pStyle w:val="Heading1"/>
      </w:pPr>
      <w:r>
        <w:rPr>
          <w:color w:val="011645"/>
          <w:sz w:val="40"/>
        </w:rPr>
        <w:t>6. Idempotence</w:t>
      </w:r>
    </w:p>
    <w:p>
      <w:pPr>
        <w:pStyle w:val="ListBullet"/>
      </w:pPr>
      <w:r>
        <w:t>Tout endpoint mutant (POST, PUT, DELETE) accepte un header `X-Idempotency-Key` (UUID v4 généré côté client).</w:t>
      </w:r>
    </w:p>
    <w:p>
      <w:pPr>
        <w:pStyle w:val="ListBullet"/>
      </w:pPr>
      <w:r>
        <w:t>Le backend conserve le mapping (idempotency-key → response) pendant 24h en MongoDB.</w:t>
      </w:r>
    </w:p>
    <w:p>
      <w:pPr>
        <w:pStyle w:val="ListBullet"/>
      </w:pPr>
      <w:r>
        <w:t>Si la même clé revient, la réponse précédente est retournée sans re-exécution.</w:t>
      </w:r>
    </w:p>
    <w:p>
      <w:pPr>
        <w:pStyle w:val="ListBullet"/>
      </w:pPr>
      <w:r>
        <w:t>Cela protège contre les retries clients (mauvaise connexion, double tap).</w:t>
      </w:r>
    </w:p>
    <w:p>
      <w:pPr>
        <w:pStyle w:val="Heading1"/>
      </w:pPr>
      <w:r>
        <w:rPr>
          <w:color w:val="011645"/>
          <w:sz w:val="40"/>
        </w:rPr>
        <w:t>7. Mécanismes de réconciliation</w:t>
      </w:r>
    </w:p>
    <w:p>
      <w:pPr>
        <w:pStyle w:val="ListBullet"/>
      </w:pPr>
      <w:r>
        <w:t>Cron quotidien 02h00 UTC : agrégation des wallet_transactions vs balance courante de chaque wallet.</w:t>
      </w:r>
    </w:p>
    <w:p>
      <w:pPr>
        <w:pStyle w:val="ListBullet"/>
      </w:pPr>
      <w:r>
        <w:t>Si écart détecté, alerte Slack + entry audit_logs + bloquage automatique du wallet concerné.</w:t>
      </w:r>
    </w:p>
    <w:p>
      <w:pPr>
        <w:pStyle w:val="ListBullet"/>
      </w:pPr>
      <w:r>
        <w:t>Réconciliation agent : pour chaque agent, somme des commissions COMPLETED vs crédit float.</w:t>
      </w:r>
    </w:p>
    <w:p>
      <w:pPr>
        <w:pStyle w:val="ListBullet"/>
      </w:pPr>
      <w:r>
        <w:t>Reverse reconciliation avec Stripe : webhook + cron horaire (rapprochement des charges réussies).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