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22A6B"/>
          <w:sz w:val="40"/>
        </w:rPr>
        <w:t xml:space="preserve">SENDFLOO </w:t>
      </w:r>
      <w:r>
        <w:rPr>
          <w:color w:val="6E769A"/>
          <w:sz w:val="26"/>
        </w:rPr>
        <w:t>· documentation projet</w:t>
      </w:r>
    </w:p>
    <w:p/>
    <w:p/>
    <w:p/>
    <w:p/>
    <w:p/>
    <w:p/>
    <w:p>
      <w:pPr>
        <w:jc w:val="left"/>
      </w:pPr>
      <w:r>
        <w:rPr>
          <w:b/>
          <w:color w:val="011645"/>
          <w:sz w:val="72"/>
        </w:rPr>
        <w:t>Architecture technique</w:t>
      </w:r>
    </w:p>
    <w:p>
      <w:pPr>
        <w:jc w:val="left"/>
      </w:pPr>
      <w:r>
        <w:rPr>
          <w:color w:val="363F5C"/>
          <w:sz w:val="32"/>
        </w:rPr>
        <w:t>SendFloo — Vue d'ensemble du système, composants, sécurité, supervision</w:t>
      </w:r>
    </w:p>
    <w:p/>
    <w:p/>
    <w:p/>
    <w:p/>
    <w:p/>
    <w:p/>
    <w:p/>
    <w:p/>
    <w:p/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  <w:color w:val="022A6B"/>
                <w:sz w:val="22"/>
              </w:rPr>
              <w:t>Code document</w:t>
            </w:r>
          </w:p>
        </w:tc>
        <w:tc>
          <w:tcPr>
            <w:tcW w:type="dxa" w:w="4873"/>
          </w:tcPr>
          <w:p>
            <w:r>
              <w:t>SF-TEC-ARCH-001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color w:val="022A6B"/>
                <w:sz w:val="22"/>
              </w:rPr>
              <w:t>Version</w:t>
            </w:r>
          </w:p>
        </w:tc>
        <w:tc>
          <w:tcPr>
            <w:tcW w:type="dxa" w:w="4873"/>
          </w:tcPr>
          <w:p>
            <w:r>
              <w:t>1.0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color w:val="022A6B"/>
                <w:sz w:val="22"/>
              </w:rPr>
              <w:t>Date d'édition</w:t>
            </w:r>
          </w:p>
        </w:tc>
        <w:tc>
          <w:tcPr>
            <w:tcW w:type="dxa" w:w="4873"/>
          </w:tcPr>
          <w:p>
            <w:r>
              <w:t>03/06/2026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color w:val="022A6B"/>
                <w:sz w:val="22"/>
              </w:rPr>
              <w:t>Auteur(s)</w:t>
            </w:r>
          </w:p>
        </w:tc>
        <w:tc>
          <w:tcPr>
            <w:tcW w:type="dxa" w:w="4873"/>
          </w:tcPr>
          <w:p>
            <w:r>
              <w:t>Direction Produit SendFloo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color w:val="022A6B"/>
                <w:sz w:val="22"/>
              </w:rPr>
              <w:t>Destinataires</w:t>
            </w:r>
          </w:p>
        </w:tc>
        <w:tc>
          <w:tcPr>
            <w:tcW w:type="dxa" w:w="4873"/>
          </w:tcPr>
          <w:p>
            <w:r>
              <w:t>Comité de Pilotage, Équipes Technique &amp; Métier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color w:val="011645"/>
        </w:rPr>
        <w:t>Sommaire</w:t>
      </w:r>
    </w:p>
    <w:p>
      <w:r>
        <w:rPr>
          <w:b/>
          <w:color w:val="011645"/>
          <w:sz w:val="22"/>
        </w:rPr>
        <w:t>1. Vue d'ensemble du système</w:t>
      </w:r>
    </w:p>
    <w:p>
      <w:r>
        <w:rPr>
          <w:b/>
          <w:color w:val="011645"/>
          <w:sz w:val="22"/>
        </w:rPr>
        <w:t>2. Composants applicatifs</w:t>
      </w:r>
    </w:p>
    <w:p>
      <w:r>
        <w:rPr>
          <w:b/>
          <w:color w:val="011645"/>
          <w:sz w:val="22"/>
        </w:rPr>
        <w:t>3. Flux inter-systèmes</w:t>
      </w:r>
    </w:p>
    <w:p>
      <w:r>
        <w:rPr>
          <w:b/>
          <w:color w:val="011645"/>
          <w:sz w:val="22"/>
        </w:rPr>
        <w:t>4. APIs</w:t>
      </w:r>
    </w:p>
    <w:p>
      <w:r>
        <w:rPr>
          <w:b/>
          <w:color w:val="011645"/>
          <w:sz w:val="22"/>
        </w:rPr>
        <w:t>5. Bases de données</w:t>
      </w:r>
    </w:p>
    <w:p>
      <w:r>
        <w:rPr>
          <w:b/>
          <w:color w:val="011645"/>
          <w:sz w:val="22"/>
        </w:rPr>
        <w:t>6. Intégrations externes</w:t>
      </w:r>
    </w:p>
    <w:p>
      <w:r>
        <w:rPr>
          <w:b/>
          <w:color w:val="011645"/>
          <w:sz w:val="22"/>
        </w:rPr>
        <w:t>7. Sécurité</w:t>
      </w:r>
    </w:p>
    <w:p>
      <w:r>
        <w:rPr>
          <w:b/>
          <w:color w:val="011645"/>
          <w:sz w:val="22"/>
        </w:rPr>
        <w:t>8. Haute disponibilité</w:t>
      </w:r>
    </w:p>
    <w:p>
      <w:r>
        <w:rPr>
          <w:b/>
          <w:color w:val="011645"/>
          <w:sz w:val="22"/>
        </w:rPr>
        <w:t>9. Supervision et observabilité</w:t>
      </w:r>
    </w:p>
    <w:p>
      <w:r>
        <w:rPr>
          <w:b/>
          <w:color w:val="011645"/>
          <w:sz w:val="22"/>
        </w:rPr>
        <w:t>10. Journalisation</w:t>
      </w:r>
    </w:p>
    <w:p>
      <w:r>
        <w:br w:type="page"/>
      </w:r>
    </w:p>
    <w:p>
      <w:pPr>
        <w:pStyle w:val="Heading1"/>
      </w:pPr>
      <w:r>
        <w:rPr>
          <w:color w:val="011645"/>
          <w:sz w:val="40"/>
        </w:rPr>
        <w:t>1. Vue d'ensemble du système</w:t>
      </w:r>
    </w:p>
    <w:p>
      <w:r>
        <w:rPr>
          <w:b w:val="0"/>
          <w:i w:val="0"/>
        </w:rPr>
        <w:t>SendFloo est une plate-forme distribuée structurée en couches :</w:t>
      </w:r>
    </w:p>
    <w:p>
      <w:pPr>
        <w:pStyle w:val="ListBullet"/>
      </w:pPr>
      <w:r>
        <w:t>Couche cliente : 2 applications mobiles natives (Expo / React Native), 1 site web SSR (Jinja2 + FastAPI).</w:t>
      </w:r>
    </w:p>
    <w:p>
      <w:pPr>
        <w:pStyle w:val="ListBullet"/>
      </w:pPr>
      <w:r>
        <w:t>Couche API : un service unique FastAPI exposant REST + WebSocket, derrière Nginx reverse-proxy.</w:t>
      </w:r>
    </w:p>
    <w:p>
      <w:pPr>
        <w:pStyle w:val="ListBullet"/>
      </w:pPr>
      <w:r>
        <w:t>Couche données : MongoDB 8 (transactions, users, agents, audit), Redis (cache + pub/sub auctions, V2).</w:t>
      </w:r>
    </w:p>
    <w:p>
      <w:pPr>
        <w:pStyle w:val="ListBullet"/>
      </w:pPr>
      <w:r>
        <w:t>Couche intégrations : Stripe, PayPal, Mobile Money (MTN, Orange, Wave), Twilio, SendGrid.</w:t>
      </w:r>
    </w:p>
    <w:p>
      <w:pPr>
        <w:pStyle w:val="ListBullet"/>
      </w:pPr>
      <w:r>
        <w:t>Couche infrastructure : VPS LWS Debian 13, Nginx, Let's Encrypt, pm2, ufw, fail2ban.</w:t>
      </w:r>
    </w:p>
    <w:p>
      <w:pPr>
        <w:pStyle w:val="Heading2"/>
      </w:pPr>
      <w:r>
        <w:rPr>
          <w:color w:val="022A6B"/>
          <w:sz w:val="30"/>
        </w:rPr>
        <w:t>1.1 Diagramme logique</w:t>
      </w:r>
    </w:p>
    <w:p>
      <w:r>
        <w:rPr>
          <w:b w:val="0"/>
          <w:i/>
        </w:rPr>
        <w:t>Internet → Nginx (HTTPS 443) → pm2 / uvicorn (port 8001) → FastAPI → MongoDB (port 27017, localhost).</w:t>
      </w:r>
    </w:p>
    <w:p>
      <w:r>
        <w:rPr>
          <w:b w:val="0"/>
          <w:i/>
        </w:rPr>
        <w:t>WebSocket : Nginx upgrade Connection → FastAPI WS endpoint /api/ws/auctions.</w:t>
      </w:r>
    </w:p>
    <w:p>
      <w:pPr>
        <w:pStyle w:val="Heading1"/>
      </w:pPr>
      <w:r>
        <w:rPr>
          <w:color w:val="011645"/>
          <w:sz w:val="40"/>
        </w:rPr>
        <w:t>2. Composants applicatifs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022A6B"/>
          </w:tcPr>
          <w:p>
            <w:r>
              <w:rPr>
                <w:b/>
                <w:color w:val="FFFFFF"/>
                <w:sz w:val="20"/>
              </w:rPr>
              <w:t>Composant</w:t>
            </w:r>
          </w:p>
        </w:tc>
        <w:tc>
          <w:tcPr>
            <w:tcW w:type="dxa" w:w="3249"/>
            <w:shd w:val="clear" w:color="auto" w:fill="022A6B"/>
          </w:tcPr>
          <w:p>
            <w:r>
              <w:rPr>
                <w:b/>
                <w:color w:val="FFFFFF"/>
                <w:sz w:val="20"/>
              </w:rPr>
              <w:t>Stack</w:t>
            </w:r>
          </w:p>
        </w:tc>
        <w:tc>
          <w:tcPr>
            <w:tcW w:type="dxa" w:w="3249"/>
            <w:shd w:val="clear" w:color="auto" w:fill="022A6B"/>
          </w:tcPr>
          <w:p>
            <w:r>
              <w:rPr>
                <w:b/>
                <w:color w:val="FFFFFF"/>
                <w:sz w:val="20"/>
              </w:rPr>
              <w:t>Responsabilité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SENDBID app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Expo SDK 51, React Native, Expo Router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UI client : auth, wallet, transfer, enchère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PAYBID app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Mêmes briques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UI agent : float, enchères, remise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Web marketing &amp; panels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FastAPI + Jinja2 (server-side render)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Marketing public + dashboards admin/agent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API REST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FastAPI 0.115, Pydantic v2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Endpoints authentifiés + publics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WebSocket service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FastAPI WebSocket + asyncio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Broadcast enchères temps réel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Background tasks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asyncio tasks + APScheduler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Cron jobs (reconcile, expire, FX refresh)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Email service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SendGrid API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Transactionnel + templates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SMS service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Twilio API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OTP, alertes critiques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Push notif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Expo Push Service + FCM/APN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Notifications mobile</w:t>
            </w:r>
          </w:p>
        </w:tc>
      </w:tr>
    </w:tbl>
    <w:p>
      <w:pPr>
        <w:pStyle w:val="Heading1"/>
      </w:pPr>
      <w:r>
        <w:rPr>
          <w:color w:val="011645"/>
          <w:sz w:val="40"/>
        </w:rPr>
        <w:t>3. Flux inter-systèmes</w:t>
      </w:r>
    </w:p>
    <w:p>
      <w:pPr>
        <w:pStyle w:val="Heading2"/>
      </w:pPr>
      <w:r>
        <w:rPr>
          <w:color w:val="022A6B"/>
          <w:sz w:val="30"/>
        </w:rPr>
        <w:t>3.1 Flux transfert simple (séquence)</w:t>
      </w:r>
    </w:p>
    <w:p>
      <w:pPr>
        <w:pStyle w:val="ListNumber"/>
      </w:pPr>
      <w:r>
        <w:t>App SENDBID → POST /api/transfers/initiate : crée transfert en BIDDING.</w:t>
      </w:r>
    </w:p>
    <w:p>
      <w:pPr>
        <w:pStyle w:val="ListNumber"/>
      </w:pPr>
      <w:r>
        <w:t>FastAPI → WebSocket broadcast vers agents corridor.</w:t>
      </w:r>
    </w:p>
    <w:p>
      <w:pPr>
        <w:pStyle w:val="ListNumber"/>
      </w:pPr>
      <w:r>
        <w:t>App PAYBID → POST /api/transfers/{id}/bid : enregistre bid.</w:t>
      </w:r>
    </w:p>
    <w:p>
      <w:pPr>
        <w:pStyle w:val="ListNumber"/>
      </w:pPr>
      <w:r>
        <w:t>FastAPI → WebSocket push vers le client SENDBID (mise à jour live).</w:t>
      </w:r>
    </w:p>
    <w:p>
      <w:pPr>
        <w:pStyle w:val="ListNumber"/>
      </w:pPr>
      <w:r>
        <w:t>Après 30s ou sélection client : POST /api/transfers/{id}/select.</w:t>
      </w:r>
    </w:p>
    <w:p>
      <w:pPr>
        <w:pStyle w:val="ListNumber"/>
      </w:pPr>
      <w:r>
        <w:t>FastAPI → débite wallet client, génère code retrait, notifie agent.</w:t>
      </w:r>
    </w:p>
    <w:p>
      <w:pPr>
        <w:pStyle w:val="ListNumber"/>
      </w:pPr>
      <w:r>
        <w:t>Agent PAYBID → POST /api/transfers/{id}/verify-pickup : valide remise.</w:t>
      </w:r>
    </w:p>
    <w:p>
      <w:pPr>
        <w:pStyle w:val="ListNumber"/>
      </w:pPr>
      <w:r>
        <w:t>FastAPI → crédit commission agent, statut COMPLETED, notifie tous.</w:t>
      </w:r>
    </w:p>
    <w:p>
      <w:pPr>
        <w:pStyle w:val="Heading1"/>
      </w:pPr>
      <w:r>
        <w:rPr>
          <w:color w:val="011645"/>
          <w:sz w:val="40"/>
        </w:rPr>
        <w:t>4. APIs</w:t>
      </w:r>
    </w:p>
    <w:p>
      <w:r>
        <w:rPr>
          <w:b w:val="0"/>
          <w:i w:val="0"/>
        </w:rPr>
        <w:t>Toutes les API utilisent JSON. Documentation OpenAPI auto-générée à /api/docs (Swagger) et /api/redoc.</w:t>
      </w:r>
    </w:p>
    <w:p>
      <w:pPr>
        <w:pStyle w:val="Heading2"/>
      </w:pPr>
      <w:r>
        <w:rPr>
          <w:color w:val="022A6B"/>
          <w:sz w:val="30"/>
        </w:rPr>
        <w:t>4.1 Principaux endpoints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022A6B"/>
          </w:tcPr>
          <w:p>
            <w:r>
              <w:rPr>
                <w:b/>
                <w:color w:val="FFFFFF"/>
                <w:sz w:val="20"/>
              </w:rPr>
              <w:t>Méthode</w:t>
            </w:r>
          </w:p>
        </w:tc>
        <w:tc>
          <w:tcPr>
            <w:tcW w:type="dxa" w:w="3249"/>
            <w:shd w:val="clear" w:color="auto" w:fill="022A6B"/>
          </w:tcPr>
          <w:p>
            <w:r>
              <w:rPr>
                <w:b/>
                <w:color w:val="FFFFFF"/>
                <w:sz w:val="20"/>
              </w:rPr>
              <w:t>Route</w:t>
            </w:r>
          </w:p>
        </w:tc>
        <w:tc>
          <w:tcPr>
            <w:tcW w:type="dxa" w:w="3249"/>
            <w:shd w:val="clear" w:color="auto" w:fill="022A6B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/api/auth/signup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Inscription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/api/auth/login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Connexion (email/téléphone/profile_id)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/api/auth/verify-otp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Validation OTP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/api/auth/me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Profil utilisateur courant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/api/corridors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Liste pays + corridors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/api/wallet/recharge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Démarrer recharge (Stripe/PayPal)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/api/transfers/initiate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Démarrer transfert (enchère)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/api/transfers/{id}/bid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Soumettre bid (agent)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/api/transfers/{id}/select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Sélectionner gagnant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/api/transfers/{id}/verify-pickup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Valider remise (agent)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/api/transfers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Liste de mes transferts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WS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/api/ws/auctions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WebSocket enchères temps réel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/api/admin/agents/{id}/approve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Approuver agent (admin)</w:t>
            </w:r>
          </w:p>
        </w:tc>
      </w:tr>
    </w:tbl>
    <w:p>
      <w:pPr>
        <w:pStyle w:val="Heading1"/>
      </w:pPr>
      <w:r>
        <w:rPr>
          <w:color w:val="011645"/>
          <w:sz w:val="40"/>
        </w:rPr>
        <w:t>5. Bases de données</w:t>
      </w:r>
    </w:p>
    <w:p>
      <w:pPr>
        <w:pStyle w:val="Heading2"/>
      </w:pPr>
      <w:r>
        <w:rPr>
          <w:color w:val="022A6B"/>
          <w:sz w:val="30"/>
        </w:rPr>
        <w:t>5.1 MongoDB collections principales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022A6B"/>
          </w:tcPr>
          <w:p>
            <w:r>
              <w:rPr>
                <w:b/>
                <w:color w:val="FFFFFF"/>
                <w:sz w:val="20"/>
              </w:rPr>
              <w:t>Collection</w:t>
            </w:r>
          </w:p>
        </w:tc>
        <w:tc>
          <w:tcPr>
            <w:tcW w:type="dxa" w:w="3249"/>
            <w:shd w:val="clear" w:color="auto" w:fill="022A6B"/>
          </w:tcPr>
          <w:p>
            <w:r>
              <w:rPr>
                <w:b/>
                <w:color w:val="FFFFFF"/>
                <w:sz w:val="20"/>
              </w:rPr>
              <w:t>Volume estimé Y1</w:t>
            </w:r>
          </w:p>
        </w:tc>
        <w:tc>
          <w:tcPr>
            <w:tcW w:type="dxa" w:w="3249"/>
            <w:shd w:val="clear" w:color="auto" w:fill="022A6B"/>
          </w:tcPr>
          <w:p>
            <w:r>
              <w:rPr>
                <w:b/>
                <w:color w:val="FFFFFF"/>
                <w:sz w:val="20"/>
              </w:rPr>
              <w:t>Indexes critiques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users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50 000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email (uniq), phone, profile_id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wallets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50 000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user_id (uniq)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wallet_transactions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1 M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user_id+date desc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agents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2 500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user_id (uniq), city, status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agent_floats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10 000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agent_id+currency (uniq)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agent_float_movements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500 000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agent_id+date desc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transfers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200 000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user_id+date desc, agent_id, status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bids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5 M (5-30 par transfert)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transfer_id, agent_id, created_at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beneficiaries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120 000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user_id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notifications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2 M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user_id+date desc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audit_logs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1 M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actor_id, created_at</w:t>
            </w:r>
          </w:p>
        </w:tc>
      </w:tr>
    </w:tbl>
    <w:p>
      <w:pPr>
        <w:pStyle w:val="Heading2"/>
      </w:pPr>
      <w:r>
        <w:rPr>
          <w:color w:val="022A6B"/>
          <w:sz w:val="30"/>
        </w:rPr>
        <w:t>5.2 Politique d'indexation</w:t>
      </w:r>
    </w:p>
    <w:p>
      <w:pPr>
        <w:pStyle w:val="ListBullet"/>
      </w:pPr>
      <w:r>
        <w:t>Tous les champs requêtés en filtre sont indexés (indexes composés quand pertinent).</w:t>
      </w:r>
    </w:p>
    <w:p>
      <w:pPr>
        <w:pStyle w:val="ListBullet"/>
      </w:pPr>
      <w:r>
        <w:t>TTL index sur notifications anciennes (&gt; 90 jours) + audit logs (&gt; 365 jours).</w:t>
      </w:r>
    </w:p>
    <w:p>
      <w:pPr>
        <w:pStyle w:val="ListBullet"/>
      </w:pPr>
      <w:r>
        <w:t>Sharding non requis en Y1 (volume gérable single replica).</w:t>
      </w:r>
    </w:p>
    <w:p>
      <w:pPr>
        <w:pStyle w:val="Heading1"/>
      </w:pPr>
      <w:r>
        <w:rPr>
          <w:color w:val="011645"/>
          <w:sz w:val="40"/>
        </w:rPr>
        <w:t>6. Intégrations externes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022A6B"/>
          </w:tcPr>
          <w:p>
            <w:r>
              <w:rPr>
                <w:b/>
                <w:color w:val="FFFFFF"/>
                <w:sz w:val="20"/>
              </w:rPr>
              <w:t>Service</w:t>
            </w:r>
          </w:p>
        </w:tc>
        <w:tc>
          <w:tcPr>
            <w:tcW w:type="dxa" w:w="2436"/>
            <w:shd w:val="clear" w:color="auto" w:fill="022A6B"/>
          </w:tcPr>
          <w:p>
            <w:r>
              <w:rPr>
                <w:b/>
                <w:color w:val="FFFFFF"/>
                <w:sz w:val="20"/>
              </w:rPr>
              <w:t>Protocol</w:t>
            </w:r>
          </w:p>
        </w:tc>
        <w:tc>
          <w:tcPr>
            <w:tcW w:type="dxa" w:w="2436"/>
            <w:shd w:val="clear" w:color="auto" w:fill="022A6B"/>
          </w:tcPr>
          <w:p>
            <w:r>
              <w:rPr>
                <w:b/>
                <w:color w:val="FFFFFF"/>
                <w:sz w:val="20"/>
              </w:rPr>
              <w:t>Auth</w:t>
            </w:r>
          </w:p>
        </w:tc>
        <w:tc>
          <w:tcPr>
            <w:tcW w:type="dxa" w:w="2436"/>
            <w:shd w:val="clear" w:color="auto" w:fill="022A6B"/>
          </w:tcPr>
          <w:p>
            <w:r>
              <w:rPr>
                <w:b/>
                <w:color w:val="FFFFFF"/>
                <w:sz w:val="20"/>
              </w:rPr>
              <w:t>SLA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Stripe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REST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Bearer API key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99,99 %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PayPal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REST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OAuth2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99,9 %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SendGrid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REST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Bearer API key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99,95 %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Twilio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REST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Account SID + Auth Token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99,95 %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Expo Push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REST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Access Token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99,9 %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MTN Mobile Money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REST + Callback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OAuth2 + IP whitelist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99 %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Orange Money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REST + Callback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OAuth2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99 %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ECB FX rates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XML feed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Public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Best effort</w:t>
            </w:r>
          </w:p>
        </w:tc>
      </w:tr>
    </w:tbl>
    <w:p>
      <w:pPr>
        <w:pStyle w:val="Heading1"/>
      </w:pPr>
      <w:r>
        <w:rPr>
          <w:color w:val="011645"/>
          <w:sz w:val="40"/>
        </w:rPr>
        <w:t>7. Sécurité</w:t>
      </w:r>
    </w:p>
    <w:p>
      <w:pPr>
        <w:pStyle w:val="ListBullet"/>
      </w:pPr>
      <w:r>
        <w:t>Authentification : JWT (HS256, expire 30 jours, refresh 7 jours, rotation à chaque login).</w:t>
      </w:r>
    </w:p>
    <w:p>
      <w:pPr>
        <w:pStyle w:val="ListBullet"/>
      </w:pPr>
      <w:r>
        <w:t>Mots de passe : bcrypt cost 12.</w:t>
      </w:r>
    </w:p>
    <w:p>
      <w:pPr>
        <w:pStyle w:val="ListBullet"/>
      </w:pPr>
      <w:r>
        <w:t>PIN agent/client : bcrypt + 5 tentatives max → lockout 15 min.</w:t>
      </w:r>
    </w:p>
    <w:p>
      <w:pPr>
        <w:pStyle w:val="ListBullet"/>
      </w:pPr>
      <w:r>
        <w:t>Cookies session web : HttpOnly, SameSite=Lax, Secure, 12h TTL.</w:t>
      </w:r>
    </w:p>
    <w:p>
      <w:pPr>
        <w:pStyle w:val="ListBullet"/>
      </w:pPr>
      <w:r>
        <w:t>Tous les flux HTTPS / TLS 1.2 minimum (Let's Encrypt ECDSA).</w:t>
      </w:r>
    </w:p>
    <w:p>
      <w:pPr>
        <w:pStyle w:val="ListBullet"/>
      </w:pPr>
      <w:r>
        <w:t>Secrets stockés dans .env (chmod 600) + jamais commit en clair.</w:t>
      </w:r>
    </w:p>
    <w:p>
      <w:pPr>
        <w:pStyle w:val="ListBullet"/>
      </w:pPr>
      <w:r>
        <w:t>Rate limiting : 100 req/min par IP (configurable), 5 tentatives login/15min.</w:t>
      </w:r>
    </w:p>
    <w:p>
      <w:pPr>
        <w:pStyle w:val="ListBullet"/>
      </w:pPr>
      <w:r>
        <w:t>Fail2ban actif sur SSH + Nginx (bot detection + bruteforce).</w:t>
      </w:r>
    </w:p>
    <w:p>
      <w:pPr>
        <w:pStyle w:val="ListBullet"/>
      </w:pPr>
      <w:r>
        <w:t>Pas de stockage de données bancaires (tokenisé via Stripe).</w:t>
      </w:r>
    </w:p>
    <w:p>
      <w:pPr>
        <w:pStyle w:val="ListBullet"/>
      </w:pPr>
      <w:r>
        <w:t>Audit log des actions sensibles : changement rôle, refund, override commission.</w:t>
      </w:r>
    </w:p>
    <w:p>
      <w:pPr>
        <w:pStyle w:val="Heading1"/>
      </w:pPr>
      <w:r>
        <w:rPr>
          <w:color w:val="011645"/>
          <w:sz w:val="40"/>
        </w:rPr>
        <w:t>8. Haute disponibilité</w:t>
      </w:r>
    </w:p>
    <w:p>
      <w:pPr>
        <w:pStyle w:val="ListBullet"/>
      </w:pPr>
      <w:r>
        <w:t>VPS unique Y1 (acceptable pour MVP avec SLA 99 %).</w:t>
      </w:r>
    </w:p>
    <w:p>
      <w:pPr>
        <w:pStyle w:val="ListBullet"/>
      </w:pPr>
      <w:r>
        <w:t>Y2 : MongoDB replica set (3 nodes) + load balancer + 2 backends FastAPI.</w:t>
      </w:r>
    </w:p>
    <w:p>
      <w:pPr>
        <w:pStyle w:val="ListBullet"/>
      </w:pPr>
      <w:r>
        <w:t>Backups quotidiens MongoDB + externalisation chiffrée S3 hebdomadaire.</w:t>
      </w:r>
    </w:p>
    <w:p>
      <w:pPr>
        <w:pStyle w:val="ListBullet"/>
      </w:pPr>
      <w:r>
        <w:t>Heartbeat monitoring toutes les 60 sec sur tous les services.</w:t>
      </w:r>
    </w:p>
    <w:p>
      <w:pPr>
        <w:pStyle w:val="ListBullet"/>
      </w:pPr>
      <w:r>
        <w:t>Plan de bascule documenté (RTO 4h, RPO 24h en Y1 ; RTO 30 min, RPO 1h en Y2).</w:t>
      </w:r>
    </w:p>
    <w:p>
      <w:pPr>
        <w:pStyle w:val="Heading1"/>
      </w:pPr>
      <w:r>
        <w:rPr>
          <w:color w:val="011645"/>
          <w:sz w:val="40"/>
        </w:rPr>
        <w:t>9. Supervision et observabilité</w:t>
      </w:r>
    </w:p>
    <w:p>
      <w:pPr>
        <w:pStyle w:val="ListBullet"/>
      </w:pPr>
      <w:r>
        <w:t>pm2 process monitoring + logs aggregation.</w:t>
      </w:r>
    </w:p>
    <w:p>
      <w:pPr>
        <w:pStyle w:val="ListBullet"/>
      </w:pPr>
      <w:r>
        <w:t>Nginx access + error logs avec rotation logrotate.</w:t>
      </w:r>
    </w:p>
    <w:p>
      <w:pPr>
        <w:pStyle w:val="ListBullet"/>
      </w:pPr>
      <w:r>
        <w:t>Sentry (Y1 cible) pour les erreurs applicatives mobile + backend.</w:t>
      </w:r>
    </w:p>
    <w:p>
      <w:pPr>
        <w:pStyle w:val="ListBullet"/>
      </w:pPr>
      <w:r>
        <w:t>Métriques business : Prometheus + Grafana en Y2 (transferts/min, taux de réussite, latence WS).</w:t>
      </w:r>
    </w:p>
    <w:p>
      <w:pPr>
        <w:pStyle w:val="ListBullet"/>
      </w:pPr>
      <w:r>
        <w:t>Alertes Slack #ops-alerts pour : downtime &gt; 1 min, taux d'erreur &gt; 5 %, certificat expirant &lt; 30 jours.</w:t>
      </w:r>
    </w:p>
    <w:p>
      <w:pPr>
        <w:pStyle w:val="Heading1"/>
      </w:pPr>
      <w:r>
        <w:rPr>
          <w:color w:val="011645"/>
          <w:sz w:val="40"/>
        </w:rPr>
        <w:t>10. Journalisation</w:t>
      </w:r>
    </w:p>
    <w:p>
      <w:pPr>
        <w:pStyle w:val="ListBullet"/>
      </w:pPr>
      <w:r>
        <w:t>Logs applicatifs : niveau INFO en prod, DEBUG en staging.</w:t>
      </w:r>
    </w:p>
    <w:p>
      <w:pPr>
        <w:pStyle w:val="ListBullet"/>
      </w:pPr>
      <w:r>
        <w:t>Format JSON structuré (timestamp ISO8601, niveau, requête_id, user_id, message).</w:t>
      </w:r>
    </w:p>
    <w:p>
      <w:pPr>
        <w:pStyle w:val="ListBullet"/>
      </w:pPr>
      <w:r>
        <w:t>Conservation 30 jours en local + 1 an externalisé (compliance AML).</w:t>
      </w:r>
    </w:p>
    <w:p>
      <w:pPr>
        <w:pStyle w:val="ListBullet"/>
      </w:pPr>
      <w:r>
        <w:t>Audit logs spécifiques (collection audit_logs MongoDB) pour les actions sensibles : conservés 5 ans.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