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Modèle de données / dictionnaire</w:t>
      </w:r>
    </w:p>
    <w:p>
      <w:pPr>
        <w:jc w:val="left"/>
      </w:pPr>
      <w:r>
        <w:rPr>
          <w:color w:val="363F5C"/>
          <w:sz w:val="32"/>
        </w:rPr>
        <w:t>SendFloo — Entités, attributs, relations, nomenclatures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SF-TEC-DD-004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Entités principales</w:t>
      </w:r>
    </w:p>
    <w:p>
      <w:r>
        <w:rPr>
          <w:b/>
          <w:color w:val="011645"/>
          <w:sz w:val="22"/>
        </w:rPr>
        <w:t>2. Détail entité 'users'</w:t>
      </w:r>
    </w:p>
    <w:p>
      <w:r>
        <w:rPr>
          <w:b/>
          <w:color w:val="011645"/>
          <w:sz w:val="22"/>
        </w:rPr>
        <w:t>3. Détail entité 'transfers'</w:t>
      </w:r>
    </w:p>
    <w:p>
      <w:r>
        <w:rPr>
          <w:b/>
          <w:color w:val="011645"/>
          <w:sz w:val="22"/>
        </w:rPr>
        <w:t>4. Détail entité 'agents'</w:t>
      </w:r>
    </w:p>
    <w:p>
      <w:r>
        <w:rPr>
          <w:b/>
          <w:color w:val="011645"/>
          <w:sz w:val="22"/>
        </w:rPr>
        <w:t>5. Détail entité 'wallets'</w:t>
      </w:r>
    </w:p>
    <w:p>
      <w:r>
        <w:rPr>
          <w:b/>
          <w:color w:val="011645"/>
          <w:sz w:val="22"/>
        </w:rPr>
        <w:t>6. Relations &amp; cardinalités</w:t>
      </w:r>
    </w:p>
    <w:p>
      <w:r>
        <w:rPr>
          <w:b/>
          <w:color w:val="011645"/>
          <w:sz w:val="22"/>
        </w:rPr>
        <w:t>7. Nomenclatures</w:t>
      </w:r>
    </w:p>
    <w:p>
      <w:r>
        <w:rPr>
          <w:b/>
          <w:color w:val="011645"/>
          <w:sz w:val="22"/>
        </w:rPr>
        <w:t>8. Référentiels externes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Entités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Entité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PK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Volume Y1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Utilisateurs (clients, agents, admins)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wallets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Wallets FlooMoney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user_id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wallet_transactions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Mouvements wallet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wallet_id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 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agents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Profils agents PayBID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user_id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2 500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agent_floats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Float par devise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agent_id+currency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agent_float_movements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Mouvements de float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agent_id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500 000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transfers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Transferts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 (UUID)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200 000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Enchères agents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transfer_id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5 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beneficiaries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Bénéficiaires sauvegardés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user_id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120 000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Notifications utilisateurs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id, FK user_id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2 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audit_logs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Audit des actions sensibles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1 M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Détail entité 'users'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Obligatoire</w:t>
            </w:r>
          </w:p>
        </w:tc>
        <w:tc>
          <w:tcPr>
            <w:tcW w:type="dxa" w:w="2436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UUID v4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Identifiant unique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profile_id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SB100000+ format public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 (uniq)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Email confirmé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Format E.164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full_name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Nom complet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bcrypt cost 12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pin_hash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PIN 6 chiffres bcrypt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 enum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user|agent|super_agent|admin|super_admin|partner_admin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kyc_tier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0, 1, 2, 3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kyc_status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 enum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none|pending|verified|rejected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fr|en|es|de|it|pt|ar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light|dark|system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biometric_enabled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Face/Touch ID activé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loyalty_level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Silver|Gold|Platinum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ISO 8601 UTC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ISO 8601 UTC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Détail entité 'transfers'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Expéditeur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beneficiary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Snapshot bénéf. (full_name, phone, country, city)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send_amount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Montant en EUR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destination_country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ISO alpha-2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destination_city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Ville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delivery_mode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 enum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cash|bank|momo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fx_rate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Taux appliqué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spread_percent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Marge FX appliquée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platform_fee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Frais SendFloo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 enum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Voir liste statuts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bids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Bids reçus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selected_bid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Bid gagnant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agent_id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assigné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pickup_code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10 chiffres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qr_signature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HMAC-SHA256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commission_eur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Commission agent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round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1, 2, 3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completed_at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cancelled_at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Détail entité 'agents'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Vers users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pending_verification|approved|suspended|rejected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tier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silver|gold|platinum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Pays opération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Ville opération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Online/offline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rating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Moyenne 1-5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transfers_count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Compteur completed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parent_agent_id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Super-agent parent (nullable)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kyc_pro_docs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Liste des justificatifs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5. Détail entité 'wallets'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FK uniq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balance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Solde EUR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currencies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['EUR', 'USD', ...]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balances_per_currency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{'EUR': 250.50, 'USD': 0}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locked_balance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number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Réservé (transferts en cours)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6. Relations &amp; cardinalités</w:t>
      </w:r>
    </w:p>
    <w:p>
      <w:pPr>
        <w:pStyle w:val="ListBullet"/>
      </w:pPr>
      <w:r>
        <w:t>1 user → 1 wallet (one-to-one)</w:t>
      </w:r>
    </w:p>
    <w:p>
      <w:pPr>
        <w:pStyle w:val="ListBullet"/>
      </w:pPr>
      <w:r>
        <w:t>1 user → 0..N transfers (one-to-many)</w:t>
      </w:r>
    </w:p>
    <w:p>
      <w:pPr>
        <w:pStyle w:val="ListBullet"/>
      </w:pPr>
      <w:r>
        <w:t>1 user → 0..N beneficiaries (one-to-many)</w:t>
      </w:r>
    </w:p>
    <w:p>
      <w:pPr>
        <w:pStyle w:val="ListBullet"/>
      </w:pPr>
      <w:r>
        <w:t>1 user (role=agent) → 1 agent (one-to-one)</w:t>
      </w:r>
    </w:p>
    <w:p>
      <w:pPr>
        <w:pStyle w:val="ListBullet"/>
      </w:pPr>
      <w:r>
        <w:t>1 agent → 1..N agent_floats (one par devise)</w:t>
      </w:r>
    </w:p>
    <w:p>
      <w:pPr>
        <w:pStyle w:val="ListBullet"/>
      </w:pPr>
      <w:r>
        <w:t>1 transfer → 0..30 bids (one-to-many)</w:t>
      </w:r>
    </w:p>
    <w:p>
      <w:pPr>
        <w:pStyle w:val="ListBullet"/>
      </w:pPr>
      <w:r>
        <w:t>1 super_agent → 0..50 agents enfants (one-to-many)</w:t>
      </w:r>
    </w:p>
    <w:p>
      <w:pPr>
        <w:pStyle w:val="Heading1"/>
      </w:pPr>
      <w:r>
        <w:rPr>
          <w:color w:val="011645"/>
          <w:sz w:val="40"/>
        </w:rPr>
        <w:t>7. Nomenclatures</w:t>
      </w:r>
    </w:p>
    <w:p>
      <w:pPr>
        <w:pStyle w:val="ListBullet"/>
      </w:pPr>
      <w:r>
        <w:t>Statuts transfert : DRAFT, BIDDING, EXPIRED, AGENT_ASSIGNED, READY_FOR_PICKUP, PROCESSING, COMPLETED, CANCELLED, FAILED, DISPUTED</w:t>
      </w:r>
    </w:p>
    <w:p>
      <w:pPr>
        <w:pStyle w:val="ListBullet"/>
      </w:pPr>
      <w:r>
        <w:t>Rôles user : user, agent, super_agent, admin, super_admin, partner_admin</w:t>
      </w:r>
    </w:p>
    <w:p>
      <w:pPr>
        <w:pStyle w:val="ListBullet"/>
      </w:pPr>
      <w:r>
        <w:t>Tiers KYC : 0, 1, 2, 3</w:t>
      </w:r>
    </w:p>
    <w:p>
      <w:pPr>
        <w:pStyle w:val="ListBullet"/>
      </w:pPr>
      <w:r>
        <w:t>Tiers loyalty : Silver, Gold, Platinum</w:t>
      </w:r>
    </w:p>
    <w:p>
      <w:pPr>
        <w:pStyle w:val="ListBullet"/>
      </w:pPr>
      <w:r>
        <w:t>Devises : EUR, USD, XAF, XOF, NGN, MAD, GBP, CHF</w:t>
      </w:r>
    </w:p>
    <w:p>
      <w:pPr>
        <w:pStyle w:val="Heading1"/>
      </w:pPr>
      <w:r>
        <w:rPr>
          <w:color w:val="011645"/>
          <w:sz w:val="40"/>
        </w:rPr>
        <w:t>8. Référentiels externes</w:t>
      </w:r>
    </w:p>
    <w:p>
      <w:pPr>
        <w:pStyle w:val="ListBullet"/>
      </w:pPr>
      <w:r>
        <w:t>ISO 3166-1 alpha-2 : codes pays</w:t>
      </w:r>
    </w:p>
    <w:p>
      <w:pPr>
        <w:pStyle w:val="ListBullet"/>
      </w:pPr>
      <w:r>
        <w:t>ISO 4217 : codes devises</w:t>
      </w:r>
    </w:p>
    <w:p>
      <w:pPr>
        <w:pStyle w:val="ListBullet"/>
      </w:pPr>
      <w:r>
        <w:t>E.164 : format téléphones</w:t>
      </w:r>
    </w:p>
    <w:p>
      <w:pPr>
        <w:pStyle w:val="ListBullet"/>
      </w:pPr>
      <w:r>
        <w:t>EU MCC : Merchant Category Code 6012 (transfert d'argent)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