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22A6B"/>
          <w:sz w:val="40"/>
        </w:rPr>
        <w:t xml:space="preserve">SENDFLOO </w:t>
      </w:r>
      <w:r>
        <w:rPr>
          <w:color w:val="6E769A"/>
          <w:sz w:val="26"/>
        </w:rPr>
        <w:t>· documentation projet</w:t>
      </w:r>
    </w:p>
    <w:p/>
    <w:p/>
    <w:p/>
    <w:p/>
    <w:p/>
    <w:p/>
    <w:p>
      <w:pPr>
        <w:jc w:val="left"/>
      </w:pPr>
      <w:r>
        <w:rPr>
          <w:b/>
          <w:color w:val="011645"/>
          <w:sz w:val="72"/>
        </w:rPr>
        <w:t>Stratégie de sécurité technique</w:t>
      </w:r>
    </w:p>
    <w:p>
      <w:pPr>
        <w:jc w:val="left"/>
      </w:pPr>
      <w:r>
        <w:rPr>
          <w:color w:val="363F5C"/>
          <w:sz w:val="32"/>
        </w:rPr>
        <w:t>SendFloo — Accès, chiffrement, fraude, audit</w:t>
      </w:r>
    </w:p>
    <w:p/>
    <w:p/>
    <w:p/>
    <w:p/>
    <w:p/>
    <w:p/>
    <w:p/>
    <w:p/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Code document</w:t>
            </w:r>
          </w:p>
        </w:tc>
        <w:tc>
          <w:tcPr>
            <w:tcW w:type="dxa" w:w="4873"/>
          </w:tcPr>
          <w:p>
            <w:r>
              <w:t>SF-TEC-SEC-005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Version</w:t>
            </w:r>
          </w:p>
        </w:tc>
        <w:tc>
          <w:tcPr>
            <w:tcW w:type="dxa" w:w="4873"/>
          </w:tcPr>
          <w:p>
            <w:r>
              <w:t>1.0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Date d'édition</w:t>
            </w:r>
          </w:p>
        </w:tc>
        <w:tc>
          <w:tcPr>
            <w:tcW w:type="dxa" w:w="4873"/>
          </w:tcPr>
          <w:p>
            <w:r>
              <w:t>03/06/2026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Auteur(s)</w:t>
            </w:r>
          </w:p>
        </w:tc>
        <w:tc>
          <w:tcPr>
            <w:tcW w:type="dxa" w:w="4873"/>
          </w:tcPr>
          <w:p>
            <w:r>
              <w:t>Direction Produit SendFloo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Destinataires</w:t>
            </w:r>
          </w:p>
        </w:tc>
        <w:tc>
          <w:tcPr>
            <w:tcW w:type="dxa" w:w="4873"/>
          </w:tcPr>
          <w:p>
            <w:r>
              <w:t>Comité de Pilotage, Équipes Technique &amp; Métier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011645"/>
        </w:rPr>
        <w:t>Sommaire</w:t>
      </w:r>
    </w:p>
    <w:p>
      <w:r>
        <w:rPr>
          <w:b/>
          <w:color w:val="011645"/>
          <w:sz w:val="22"/>
        </w:rPr>
        <w:t>1. Gestion des accès</w:t>
      </w:r>
    </w:p>
    <w:p>
      <w:r>
        <w:rPr>
          <w:b/>
          <w:color w:val="011645"/>
          <w:sz w:val="22"/>
        </w:rPr>
        <w:t>2. Authentification</w:t>
      </w:r>
    </w:p>
    <w:p>
      <w:r>
        <w:rPr>
          <w:b/>
          <w:color w:val="011645"/>
          <w:sz w:val="22"/>
        </w:rPr>
        <w:t>3. Autorisations (RBAC)</w:t>
      </w:r>
    </w:p>
    <w:p>
      <w:r>
        <w:rPr>
          <w:b/>
          <w:color w:val="011645"/>
          <w:sz w:val="22"/>
        </w:rPr>
        <w:t>4. Chiffrement</w:t>
      </w:r>
    </w:p>
    <w:p>
      <w:r>
        <w:rPr>
          <w:b/>
          <w:color w:val="011645"/>
          <w:sz w:val="22"/>
        </w:rPr>
        <w:t>5. Gestion des secrets</w:t>
      </w:r>
    </w:p>
    <w:p>
      <w:r>
        <w:rPr>
          <w:b/>
          <w:color w:val="011645"/>
          <w:sz w:val="22"/>
        </w:rPr>
        <w:t>6. Traçabilité &amp; audit</w:t>
      </w:r>
    </w:p>
    <w:p>
      <w:r>
        <w:rPr>
          <w:b/>
          <w:color w:val="011645"/>
          <w:sz w:val="22"/>
        </w:rPr>
        <w:t>7. OTP / PIN / contrôle identité</w:t>
      </w:r>
    </w:p>
    <w:p>
      <w:r>
        <w:rPr>
          <w:b/>
          <w:color w:val="011645"/>
          <w:sz w:val="22"/>
        </w:rPr>
        <w:t>8. Protection anti-fraude</w:t>
      </w:r>
    </w:p>
    <w:p>
      <w:r>
        <w:rPr>
          <w:b/>
          <w:color w:val="011645"/>
          <w:sz w:val="22"/>
        </w:rPr>
        <w:t>9. Journalisation de sécurité</w:t>
      </w:r>
    </w:p>
    <w:p>
      <w:r>
        <w:rPr>
          <w:b/>
          <w:color w:val="011645"/>
          <w:sz w:val="22"/>
        </w:rPr>
        <w:t>10. Réponse aux incidents</w:t>
      </w:r>
    </w:p>
    <w:p>
      <w:r>
        <w:br w:type="page"/>
      </w:r>
    </w:p>
    <w:p>
      <w:pPr>
        <w:pStyle w:val="Heading1"/>
      </w:pPr>
      <w:r>
        <w:rPr>
          <w:color w:val="011645"/>
          <w:sz w:val="40"/>
        </w:rPr>
        <w:t>1. Gestion des accès</w:t>
      </w:r>
    </w:p>
    <w:p>
      <w:pPr>
        <w:pStyle w:val="ListBullet"/>
      </w:pPr>
      <w:r>
        <w:t>Principe du moindre privilège appliqué partout.</w:t>
      </w:r>
    </w:p>
    <w:p>
      <w:pPr>
        <w:pStyle w:val="ListBullet"/>
      </w:pPr>
      <w:r>
        <w:t>Comptes admins individuels nominatifs (jamais de compte partagé).</w:t>
      </w:r>
    </w:p>
    <w:p>
      <w:pPr>
        <w:pStyle w:val="ListBullet"/>
      </w:pPr>
      <w:r>
        <w:t>Rotation obligatoire mdp tous les 90 jours pour rôles admin.</w:t>
      </w:r>
    </w:p>
    <w:p>
      <w:pPr>
        <w:pStyle w:val="ListBullet"/>
      </w:pPr>
      <w:r>
        <w:t>SSH par clé uniquement (pas de mdp) en cible Y2.</w:t>
      </w:r>
    </w:p>
    <w:p>
      <w:pPr>
        <w:pStyle w:val="ListBullet"/>
      </w:pPr>
      <w:r>
        <w:t>Accès production : seuls 3 personnes (CTO, lead SRE, lead Compliance).</w:t>
      </w:r>
    </w:p>
    <w:p>
      <w:pPr>
        <w:pStyle w:val="Heading1"/>
      </w:pPr>
      <w:r>
        <w:rPr>
          <w:color w:val="011645"/>
          <w:sz w:val="40"/>
        </w:rPr>
        <w:t>2. Authentification</w:t>
      </w:r>
    </w:p>
    <w:p>
      <w:pPr>
        <w:pStyle w:val="Heading2"/>
      </w:pPr>
      <w:r>
        <w:rPr>
          <w:color w:val="022A6B"/>
          <w:sz w:val="30"/>
        </w:rPr>
        <w:t>2.1 Mécanismes</w:t>
      </w:r>
    </w:p>
    <w:p>
      <w:pPr>
        <w:pStyle w:val="ListBullet"/>
      </w:pPr>
      <w:r>
        <w:t>Mot de passe : bcrypt cost 12, minimum 8 caractères + 1 chiffre + 1 spécial.</w:t>
      </w:r>
    </w:p>
    <w:p>
      <w:pPr>
        <w:pStyle w:val="ListBullet"/>
      </w:pPr>
      <w:r>
        <w:t>JWT HS256 expire 30 jours, refresh token 7 jours.</w:t>
      </w:r>
    </w:p>
    <w:p>
      <w:pPr>
        <w:pStyle w:val="ListBullet"/>
      </w:pPr>
      <w:r>
        <w:t>PIN 6 chiffres bcrypt cost 10, lockout 15 min après 5 échecs.</w:t>
      </w:r>
    </w:p>
    <w:p>
      <w:pPr>
        <w:pStyle w:val="ListBullet"/>
      </w:pPr>
      <w:r>
        <w:t>Biométrie : Face ID / Touch ID via API native (aucune donnée biométrique stockée serveur).</w:t>
      </w:r>
    </w:p>
    <w:p>
      <w:pPr>
        <w:pStyle w:val="ListBullet"/>
      </w:pPr>
      <w:r>
        <w:t>OTP 6 chiffres SMS + email, expiration 5 min, max 3 tentatives.</w:t>
      </w:r>
    </w:p>
    <w:p>
      <w:pPr>
        <w:pStyle w:val="Heading2"/>
      </w:pPr>
      <w:r>
        <w:rPr>
          <w:color w:val="022A6B"/>
          <w:sz w:val="30"/>
        </w:rPr>
        <w:t>2.2 MFA panels web</w:t>
      </w:r>
    </w:p>
    <w:p>
      <w:pPr>
        <w:pStyle w:val="ListBullet"/>
      </w:pPr>
      <w:r>
        <w:t>Cookie session HttpOnly + Secure + SameSite=Lax + 12h TTL.</w:t>
      </w:r>
    </w:p>
    <w:p>
      <w:pPr>
        <w:pStyle w:val="ListBullet"/>
      </w:pPr>
      <w:r>
        <w:t>Re-login obligatoire après 12h ou changement IP.</w:t>
      </w:r>
    </w:p>
    <w:p>
      <w:pPr>
        <w:pStyle w:val="ListBullet"/>
      </w:pPr>
      <w:r>
        <w:t>Y2 : MFA TOTP (Google Authenticator) obligatoire pour admin / super-admin.</w:t>
      </w:r>
    </w:p>
    <w:p>
      <w:pPr>
        <w:pStyle w:val="Heading1"/>
      </w:pPr>
      <w:r>
        <w:rPr>
          <w:color w:val="011645"/>
          <w:sz w:val="40"/>
        </w:rPr>
        <w:t>3. Autorisations (RBAC)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Rôle</w:t>
            </w:r>
          </w:p>
        </w:tc>
        <w:tc>
          <w:tcPr>
            <w:tcW w:type="dxa" w:w="4873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Accès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Self + ses bénéficiaires + ses transferts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agent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Self + transferts assignés + float perso + enchères corridor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super_agent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Self + agents enfants + transferts réseau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partner_admin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Tous users/agents/transferts d'un corridor donné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Tous users/agents/transferts + KYC + suspension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super_admin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Tout + config plate-forme + gestion admins + backups</w:t>
            </w:r>
          </w:p>
        </w:tc>
      </w:tr>
    </w:tbl>
    <w:p>
      <w:pPr>
        <w:pStyle w:val="Heading1"/>
      </w:pPr>
      <w:r>
        <w:rPr>
          <w:color w:val="011645"/>
          <w:sz w:val="40"/>
        </w:rPr>
        <w:t>4. Chiffrement</w:t>
      </w:r>
    </w:p>
    <w:p>
      <w:pPr>
        <w:pStyle w:val="ListBullet"/>
      </w:pPr>
      <w:r>
        <w:t>En transit : TLS 1.2+ (TLS 1.3 préféré) sur tous les flux (HTTPS, WSS, SMTP).</w:t>
      </w:r>
    </w:p>
    <w:p>
      <w:pPr>
        <w:pStyle w:val="ListBullet"/>
      </w:pPr>
      <w:r>
        <w:t>Au repos : MongoDB encrypted-at-rest (V2 quand replica set).</w:t>
      </w:r>
    </w:p>
    <w:p>
      <w:pPr>
        <w:pStyle w:val="ListBullet"/>
      </w:pPr>
      <w:r>
        <w:t>Secrets : .env chmod 600, jamais committé git.</w:t>
      </w:r>
    </w:p>
    <w:p>
      <w:pPr>
        <w:pStyle w:val="ListBullet"/>
      </w:pPr>
      <w:r>
        <w:t>Tokens JWT signés HS256 avec JWT_SECRET 256 bits.</w:t>
      </w:r>
    </w:p>
    <w:p>
      <w:pPr>
        <w:pStyle w:val="ListBullet"/>
      </w:pPr>
      <w:r>
        <w:t>QR retrait : HMAC-SHA256 avec QR_HMAC_SECRET, payload signé + TTL 48h.</w:t>
      </w:r>
    </w:p>
    <w:p>
      <w:pPr>
        <w:pStyle w:val="Heading1"/>
      </w:pPr>
      <w:r>
        <w:rPr>
          <w:color w:val="011645"/>
          <w:sz w:val="40"/>
        </w:rPr>
        <w:t>5. Gestion des secrets</w:t>
      </w:r>
    </w:p>
    <w:p>
      <w:pPr>
        <w:pStyle w:val="ListBullet"/>
      </w:pPr>
      <w:r>
        <w:t>Storage actuel : .env locaux (chmod 600).</w:t>
      </w:r>
    </w:p>
    <w:p>
      <w:pPr>
        <w:pStyle w:val="ListBullet"/>
      </w:pPr>
      <w:r>
        <w:t>Cible Y2 : HashiCorp Vault ou AWS Secrets Manager.</w:t>
      </w:r>
    </w:p>
    <w:p>
      <w:pPr>
        <w:pStyle w:val="ListBullet"/>
      </w:pPr>
      <w:r>
        <w:t>Rotation : Stripe key tous les 90 jours, JWT secret tous les 180 jours (avec dual-secret transition).</w:t>
      </w:r>
    </w:p>
    <w:p>
      <w:pPr>
        <w:pStyle w:val="ListBullet"/>
      </w:pPr>
      <w:r>
        <w:t>Aucun secret n'apparaît dans les logs (filtre middleware appliqué).</w:t>
      </w:r>
    </w:p>
    <w:p>
      <w:pPr>
        <w:pStyle w:val="Heading1"/>
      </w:pPr>
      <w:r>
        <w:rPr>
          <w:color w:val="011645"/>
          <w:sz w:val="40"/>
        </w:rPr>
        <w:t>6. Traçabilité &amp; audit</w:t>
      </w:r>
    </w:p>
    <w:p>
      <w:pPr>
        <w:pStyle w:val="ListBullet"/>
      </w:pPr>
      <w:r>
        <w:t>Audit log MongoDB pour actions sensibles : changement rôle, refund manuel, suspension, override commission.</w:t>
      </w:r>
    </w:p>
    <w:p>
      <w:pPr>
        <w:pStyle w:val="ListBullet"/>
      </w:pPr>
      <w:r>
        <w:t>Chaque entrée : {actor_id, actor_role, action, target_id, before, after, ip, user_agent, created_at}.</w:t>
      </w:r>
    </w:p>
    <w:p>
      <w:pPr>
        <w:pStyle w:val="ListBullet"/>
      </w:pPr>
      <w:r>
        <w:t>Conservation : 5 ans (compliance AML).</w:t>
      </w:r>
    </w:p>
    <w:p>
      <w:pPr>
        <w:pStyle w:val="ListBullet"/>
      </w:pPr>
      <w:r>
        <w:t>Export quotidien S3 chiffré (V2).</w:t>
      </w:r>
    </w:p>
    <w:p>
      <w:pPr>
        <w:pStyle w:val="Heading1"/>
      </w:pPr>
      <w:r>
        <w:rPr>
          <w:color w:val="011645"/>
          <w:sz w:val="40"/>
        </w:rPr>
        <w:t>7. OTP / PIN / contrôle identité</w:t>
      </w:r>
    </w:p>
    <w:p>
      <w:pPr>
        <w:pStyle w:val="ListBullet"/>
      </w:pPr>
      <w:r>
        <w:t>OTP signup : envoyé email + phone, validation des 2 requise pour Tier ≥ 1.</w:t>
      </w:r>
    </w:p>
    <w:p>
      <w:pPr>
        <w:pStyle w:val="ListBullet"/>
      </w:pPr>
      <w:r>
        <w:t>PIN : confirmation à toute transaction &gt; 50 € OU à chaque transfert (configurable user).</w:t>
      </w:r>
    </w:p>
    <w:p>
      <w:pPr>
        <w:pStyle w:val="ListBullet"/>
      </w:pPr>
      <w:r>
        <w:t>Contrôle identité : 3 niveaux KYC, photo ID + selfie obligatoires pour Tier 2.</w:t>
      </w:r>
    </w:p>
    <w:p>
      <w:pPr>
        <w:pStyle w:val="ListBullet"/>
      </w:pPr>
      <w:r>
        <w:t>Tier 3 : justificatifs origine des fonds (relevé bancaire, fiche paie).</w:t>
      </w:r>
    </w:p>
    <w:p>
      <w:pPr>
        <w:pStyle w:val="Heading1"/>
      </w:pPr>
      <w:r>
        <w:rPr>
          <w:color w:val="011645"/>
          <w:sz w:val="40"/>
        </w:rPr>
        <w:t>8. Protection anti-fraude</w:t>
      </w:r>
    </w:p>
    <w:p>
      <w:pPr>
        <w:pStyle w:val="ListBullet"/>
      </w:pPr>
      <w:r>
        <w:t>Système de scoring (fraud_score 0-100) à chaque transfert : volume, fréquence, géolocalisation, KYC, historique.</w:t>
      </w:r>
    </w:p>
    <w:p>
      <w:pPr>
        <w:pStyle w:val="ListBullet"/>
      </w:pPr>
      <w:r>
        <w:t>Score &gt; 70 : transfert mis en HOLD, validation manuelle compliance.</w:t>
      </w:r>
    </w:p>
    <w:p>
      <w:pPr>
        <w:pStyle w:val="ListBullet"/>
      </w:pPr>
      <w:r>
        <w:t>Score &gt; 90 : blocage automatique + alerte Slack #fraud-alerts.</w:t>
      </w:r>
    </w:p>
    <w:p>
      <w:pPr>
        <w:pStyle w:val="ListBullet"/>
      </w:pPr>
      <w:r>
        <w:t>Sanctions screening (V2) : check contre OFAC, UN, EU listes via API tierce.</w:t>
      </w:r>
    </w:p>
    <w:p>
      <w:pPr>
        <w:pStyle w:val="ListBullet"/>
      </w:pPr>
      <w:r>
        <w:t>Velocity check : &gt; 5 transferts/heure ou &gt; 3 méthodes paiement → alerte.</w:t>
      </w:r>
    </w:p>
    <w:p>
      <w:pPr>
        <w:pStyle w:val="Heading1"/>
      </w:pPr>
      <w:r>
        <w:rPr>
          <w:color w:val="011645"/>
          <w:sz w:val="40"/>
        </w:rPr>
        <w:t>9. Journalisation de sécurité</w:t>
      </w:r>
    </w:p>
    <w:p>
      <w:pPr>
        <w:pStyle w:val="ListBullet"/>
      </w:pPr>
      <w:r>
        <w:t>Tous les login (succès + échec) + IP + UA → audit log.</w:t>
      </w:r>
    </w:p>
    <w:p>
      <w:pPr>
        <w:pStyle w:val="ListBullet"/>
      </w:pPr>
      <w:r>
        <w:t>Toutes les actions admin → audit log + Slack daily digest.</w:t>
      </w:r>
    </w:p>
    <w:p>
      <w:pPr>
        <w:pStyle w:val="ListBullet"/>
      </w:pPr>
      <w:r>
        <w:t>Fail2ban : SSH bans + Nginx 4xx burst bans (visibles via fail2ban-client status).</w:t>
      </w:r>
    </w:p>
    <w:p>
      <w:pPr>
        <w:pStyle w:val="ListBullet"/>
      </w:pPr>
      <w:r>
        <w:t>Alertes Slack temps réel : login admin depuis pays inhabituel, IP suspecte, taux d'erreur 5xx &gt; 5 %.</w:t>
      </w:r>
    </w:p>
    <w:p>
      <w:pPr>
        <w:pStyle w:val="Heading1"/>
      </w:pPr>
      <w:r>
        <w:rPr>
          <w:color w:val="011645"/>
          <w:sz w:val="40"/>
        </w:rPr>
        <w:t>10. Réponse aux incidents</w:t>
      </w:r>
    </w:p>
    <w:p>
      <w:pPr>
        <w:pStyle w:val="ListNumber"/>
      </w:pPr>
      <w:r>
        <w:t>Détection : monitoring, alerte ou signalement utilisateur.</w:t>
      </w:r>
    </w:p>
    <w:p>
      <w:pPr>
        <w:pStyle w:val="ListNumber"/>
      </w:pPr>
      <w:r>
        <w:t>Triage : Sécurité Officer évalue gravité dans 15 min.</w:t>
      </w:r>
    </w:p>
    <w:p>
      <w:pPr>
        <w:pStyle w:val="ListNumber"/>
      </w:pPr>
      <w:r>
        <w:t>Confinement : couper accès, suspendre comptes compromis, geler transferts.</w:t>
      </w:r>
    </w:p>
    <w:p>
      <w:pPr>
        <w:pStyle w:val="ListNumber"/>
      </w:pPr>
      <w:r>
        <w:t>Éradication : patcher la faille, rotation des secrets compromis.</w:t>
      </w:r>
    </w:p>
    <w:p>
      <w:pPr>
        <w:pStyle w:val="ListNumber"/>
      </w:pPr>
      <w:r>
        <w:t>Restauration : restore depuis backup propre si nécessaire.</w:t>
      </w:r>
    </w:p>
    <w:p>
      <w:pPr>
        <w:pStyle w:val="ListNumber"/>
      </w:pPr>
      <w:r>
        <w:t>Post-mortem : doc + actions correctives sous 5 jours ouvrés.</w:t>
      </w:r>
    </w:p>
    <w:p>
      <w:pPr>
        <w:pStyle w:val="ListNumber"/>
      </w:pPr>
      <w:r>
        <w:t>Notification CNIL sous 72h si breach RGPD (obligatoire).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