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Guide support / service client</w:t>
      </w:r>
    </w:p>
    <w:p>
      <w:pPr>
        <w:jc w:val="left"/>
      </w:pPr>
      <w:r>
        <w:rPr>
          <w:color w:val="363F5C"/>
          <w:sz w:val="32"/>
        </w:rPr>
        <w:t>SendFloo — Référentiel des équipes support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SF-OPS-SUP-003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Scripts de réponse standards</w:t>
      </w:r>
    </w:p>
    <w:p>
      <w:r>
        <w:rPr>
          <w:b/>
          <w:color w:val="011645"/>
          <w:sz w:val="22"/>
        </w:rPr>
        <w:t>2. Consultation des statuts</w:t>
      </w:r>
    </w:p>
    <w:p>
      <w:r>
        <w:rPr>
          <w:b/>
          <w:color w:val="011645"/>
          <w:sz w:val="22"/>
        </w:rPr>
        <w:t>3. Règles d'escalade</w:t>
      </w:r>
    </w:p>
    <w:p>
      <w:r>
        <w:rPr>
          <w:b/>
          <w:color w:val="011645"/>
          <w:sz w:val="22"/>
        </w:rPr>
        <w:t>4. Motifs d'annulation</w:t>
      </w:r>
    </w:p>
    <w:p>
      <w:r>
        <w:rPr>
          <w:b/>
          <w:color w:val="011645"/>
          <w:sz w:val="22"/>
        </w:rPr>
        <w:t>5. Traitement des réclamations</w:t>
      </w:r>
    </w:p>
    <w:p>
      <w:r>
        <w:rPr>
          <w:b/>
          <w:color w:val="011645"/>
          <w:sz w:val="22"/>
        </w:rPr>
        <w:t>6. Gestion des litiges (DISPUTED)</w:t>
      </w:r>
    </w:p>
    <w:p>
      <w:r>
        <w:rPr>
          <w:b/>
          <w:color w:val="011645"/>
          <w:sz w:val="22"/>
        </w:rPr>
        <w:t>7. SLA de prise en charge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Scripts de réponse standards</w:t>
      </w:r>
    </w:p>
    <w:p>
      <w:pPr>
        <w:pStyle w:val="ListBullet"/>
      </w:pPr>
      <w:r>
        <w:t>Bonjour [Prénom], je suis [Nom] du support SendFloo. En quoi puis-je vous aider ?</w:t>
      </w:r>
    </w:p>
    <w:p>
      <w:pPr>
        <w:pStyle w:val="ListBullet"/>
      </w:pPr>
      <w:r>
        <w:t>Je comprends votre frustration, laissez-moi vérifier immédiatement votre dossier.</w:t>
      </w:r>
    </w:p>
    <w:p>
      <w:pPr>
        <w:pStyle w:val="ListBullet"/>
      </w:pPr>
      <w:r>
        <w:t>Pour des raisons de sécurité, pouvez-vous me confirmer votre profile_id (SBxxxxxx) ?</w:t>
      </w:r>
    </w:p>
    <w:p>
      <w:pPr>
        <w:pStyle w:val="ListBullet"/>
      </w:pPr>
      <w:r>
        <w:t>Votre transfert est actuellement au statut [X]. Voici ce que cela signifie : ...</w:t>
      </w:r>
    </w:p>
    <w:p>
      <w:pPr>
        <w:pStyle w:val="Heading1"/>
      </w:pPr>
      <w:r>
        <w:rPr>
          <w:color w:val="011645"/>
          <w:sz w:val="40"/>
        </w:rPr>
        <w:t>2. Consultation des statuts</w:t>
      </w:r>
    </w:p>
    <w:p>
      <w:pPr>
        <w:pStyle w:val="ListBullet"/>
      </w:pPr>
      <w:r>
        <w:t>Accès panel Admin /admin/transfers avec recherche par ID ou email.</w:t>
      </w:r>
    </w:p>
    <w:p>
      <w:pPr>
        <w:pStyle w:val="ListBullet"/>
      </w:pPr>
      <w:r>
        <w:t>Toujours vérifier identité de l'appelant avant toute info partagée.</w:t>
      </w:r>
    </w:p>
    <w:p>
      <w:pPr>
        <w:pStyle w:val="ListBullet"/>
      </w:pPr>
      <w:r>
        <w:t>Code/mot de passe ne doivent JAMAIS être demandés au téléphone.</w:t>
      </w:r>
    </w:p>
    <w:p>
      <w:pPr>
        <w:pStyle w:val="Heading1"/>
      </w:pPr>
      <w:r>
        <w:rPr>
          <w:color w:val="011645"/>
          <w:sz w:val="40"/>
        </w:rPr>
        <w:t>3. Règles d'escalade</w:t>
      </w:r>
    </w:p>
    <w:p>
      <w:pPr>
        <w:pStyle w:val="ListBullet"/>
      </w:pPr>
      <w:r>
        <w:t>N1 (généraliste) : info statuts, KYC en attente, recharge wallet, FAQ.</w:t>
      </w:r>
    </w:p>
    <w:p>
      <w:pPr>
        <w:pStyle w:val="ListBullet"/>
      </w:pPr>
      <w:r>
        <w:t>N2 (technique) : bugs, problèmes paiement, intégrations partenaires.</w:t>
      </w:r>
    </w:p>
    <w:p>
      <w:pPr>
        <w:pStyle w:val="ListBullet"/>
      </w:pPr>
      <w:r>
        <w:t>N3 (compliance) : fraude suspectée, KYC complexe, dispute.</w:t>
      </w:r>
    </w:p>
    <w:p>
      <w:pPr>
        <w:pStyle w:val="ListBullet"/>
      </w:pPr>
      <w:r>
        <w:t>Direction : montant &gt; 5 000 € en dispute, incident média.</w:t>
      </w:r>
    </w:p>
    <w:p>
      <w:pPr>
        <w:pStyle w:val="Heading1"/>
      </w:pPr>
      <w:r>
        <w:rPr>
          <w:color w:val="011645"/>
          <w:sz w:val="40"/>
        </w:rPr>
        <w:t>4. Motifs d'annulation</w:t>
      </w:r>
    </w:p>
    <w:p>
      <w:pPr>
        <w:pStyle w:val="ListBullet"/>
      </w:pPr>
      <w:r>
        <w:t>Demande client volontaire avant remise.</w:t>
      </w:r>
    </w:p>
    <w:p>
      <w:pPr>
        <w:pStyle w:val="ListBullet"/>
      </w:pPr>
      <w:r>
        <w:t>Bénéficiaire injoignable 48h (mode cash).</w:t>
      </w:r>
    </w:p>
    <w:p>
      <w:pPr>
        <w:pStyle w:val="ListBullet"/>
      </w:pPr>
      <w:r>
        <w:t>Erreur destination détectée par client (refund + nouveau transfer).</w:t>
      </w:r>
    </w:p>
    <w:p>
      <w:pPr>
        <w:pStyle w:val="ListBullet"/>
      </w:pPr>
      <w:r>
        <w:t>Suspicion fraude (avec validation compliance).</w:t>
      </w:r>
    </w:p>
    <w:p>
      <w:pPr>
        <w:pStyle w:val="Heading1"/>
      </w:pPr>
      <w:r>
        <w:rPr>
          <w:color w:val="011645"/>
          <w:sz w:val="40"/>
        </w:rPr>
        <w:t>5. Traitement des réclamations</w:t>
      </w:r>
    </w:p>
    <w:p>
      <w:pPr>
        <w:pStyle w:val="ListBullet"/>
      </w:pPr>
      <w:r>
        <w:t>Accusé réception sous 24h (email ou push).</w:t>
      </w:r>
    </w:p>
    <w:p>
      <w:pPr>
        <w:pStyle w:val="ListBullet"/>
      </w:pPr>
      <w:r>
        <w:t>Investigation : sous 5 jours ouvrés.</w:t>
      </w:r>
    </w:p>
    <w:p>
      <w:pPr>
        <w:pStyle w:val="ListBullet"/>
      </w:pPr>
      <w:r>
        <w:t>Décision : communiquée par écrit + audit log.</w:t>
      </w:r>
    </w:p>
    <w:p>
      <w:pPr>
        <w:pStyle w:val="ListBullet"/>
      </w:pPr>
      <w:r>
        <w:t>Compensation : à discrétion (gestes commerciaux jusqu'à 50 € par incident).</w:t>
      </w:r>
    </w:p>
    <w:p>
      <w:pPr>
        <w:pStyle w:val="Heading1"/>
      </w:pPr>
      <w:r>
        <w:rPr>
          <w:color w:val="011645"/>
          <w:sz w:val="40"/>
        </w:rPr>
        <w:t>6. Gestion des litiges (DISPUTED)</w:t>
      </w:r>
    </w:p>
    <w:p>
      <w:pPr>
        <w:pStyle w:val="ListBullet"/>
      </w:pPr>
      <w:r>
        <w:t>Ouverture par client OU agent.</w:t>
      </w:r>
    </w:p>
    <w:p>
      <w:pPr>
        <w:pStyle w:val="ListBullet"/>
      </w:pPr>
      <w:r>
        <w:t>Investigation 7 jours ouvrés max.</w:t>
      </w:r>
    </w:p>
    <w:p>
      <w:pPr>
        <w:pStyle w:val="ListBullet"/>
      </w:pPr>
      <w:r>
        <w:t>Arbitrage par compliance officer.</w:t>
      </w:r>
    </w:p>
    <w:p>
      <w:pPr>
        <w:pStyle w:val="ListBullet"/>
      </w:pPr>
      <w:r>
        <w:t>Décision finale + refund partiel/total OU rejet du dispute.</w:t>
      </w:r>
    </w:p>
    <w:p>
      <w:pPr>
        <w:pStyle w:val="Heading1"/>
      </w:pPr>
      <w:r>
        <w:rPr>
          <w:color w:val="011645"/>
          <w:sz w:val="40"/>
        </w:rPr>
        <w:t>7. SLA de prise en charge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Heures ouvrées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Délai de réponse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Chat in-app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24/7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5 min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Lun-Ven 9h-19h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24h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Téléphone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Lun-Ven 9h-18h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3 min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Twitter/social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24/7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≤ 1h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