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Manuel agent / payeur</w:t>
      </w:r>
    </w:p>
    <w:p>
      <w:pPr>
        <w:jc w:val="left"/>
      </w:pPr>
      <w:r>
        <w:rPr>
          <w:color w:val="363F5C"/>
          <w:sz w:val="32"/>
        </w:rPr>
        <w:t>SendFloo — Guide d'exécution terrain pour agents PayBID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SF-OPS-MAN-002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Conditions d'acceptation d'une transaction</w:t>
      </w:r>
    </w:p>
    <w:p>
      <w:r>
        <w:rPr>
          <w:b/>
          <w:color w:val="011645"/>
          <w:sz w:val="22"/>
        </w:rPr>
        <w:t>2. Contrôle d'identité du bénéficiaire</w:t>
      </w:r>
    </w:p>
    <w:p>
      <w:r>
        <w:rPr>
          <w:b/>
          <w:color w:val="011645"/>
          <w:sz w:val="22"/>
        </w:rPr>
        <w:t>3. Validation du code de retrait</w:t>
      </w:r>
    </w:p>
    <w:p>
      <w:r>
        <w:rPr>
          <w:b/>
          <w:color w:val="011645"/>
          <w:sz w:val="22"/>
        </w:rPr>
        <w:t>4. Remise des espèces / virement / momo</w:t>
      </w:r>
    </w:p>
    <w:p>
      <w:r>
        <w:rPr>
          <w:b/>
          <w:color w:val="011645"/>
          <w:sz w:val="22"/>
        </w:rPr>
        <w:t>5. Preuves à conserver</w:t>
      </w:r>
    </w:p>
    <w:p>
      <w:r>
        <w:rPr>
          <w:b/>
          <w:color w:val="011645"/>
          <w:sz w:val="22"/>
        </w:rPr>
        <w:t>6. Cas de refus de paiement</w:t>
      </w:r>
    </w:p>
    <w:p>
      <w:r>
        <w:rPr>
          <w:b/>
          <w:color w:val="011645"/>
          <w:sz w:val="22"/>
        </w:rPr>
        <w:t>7. Sécurité du point de service</w:t>
      </w:r>
    </w:p>
    <w:p>
      <w:r>
        <w:rPr>
          <w:b/>
          <w:color w:val="011645"/>
          <w:sz w:val="22"/>
        </w:rPr>
        <w:t>8. Gestion de liquidité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Conditions d'acceptation d'une transaction</w:t>
      </w:r>
    </w:p>
    <w:p>
      <w:pPr>
        <w:pStyle w:val="ListBullet"/>
      </w:pPr>
      <w:r>
        <w:t>Vérifier que le code de retrait correspond bien à un transfert AGENT_ASSIGNED.</w:t>
      </w:r>
    </w:p>
    <w:p>
      <w:pPr>
        <w:pStyle w:val="ListBullet"/>
      </w:pPr>
      <w:r>
        <w:t>Vérifier que vous êtes l'agent assigné (votre propre nom dans l'app).</w:t>
      </w:r>
    </w:p>
    <w:p>
      <w:pPr>
        <w:pStyle w:val="ListBullet"/>
      </w:pPr>
      <w:r>
        <w:t>Vérifier l'identité du bénéficiaire (CNI, passeport ou carte de séjour valide).</w:t>
      </w:r>
    </w:p>
    <w:p>
      <w:pPr>
        <w:pStyle w:val="Heading1"/>
      </w:pPr>
      <w:r>
        <w:rPr>
          <w:color w:val="011645"/>
          <w:sz w:val="40"/>
        </w:rPr>
        <w:t>2. Contrôle d'identité du bénéficiaire</w:t>
      </w:r>
    </w:p>
    <w:p>
      <w:pPr>
        <w:pStyle w:val="ListBullet"/>
      </w:pPr>
      <w:r>
        <w:t>Pièce d'identité officielle non-expirée (max 5 ans).</w:t>
      </w:r>
    </w:p>
    <w:p>
      <w:pPr>
        <w:pStyle w:val="ListBullet"/>
      </w:pPr>
      <w:r>
        <w:t>Comparaison photo ID vs visage (idéalement vidéo selfie).</w:t>
      </w:r>
    </w:p>
    <w:p>
      <w:pPr>
        <w:pStyle w:val="ListBullet"/>
      </w:pPr>
      <w:r>
        <w:t>Vérification du nom complet match avec celui du transfert.</w:t>
      </w:r>
    </w:p>
    <w:p>
      <w:pPr>
        <w:pStyle w:val="ListBullet"/>
      </w:pPr>
      <w:r>
        <w:t>Tier ≥ 2 du bénéficiaire requis pour montants &gt; 500 €.</w:t>
      </w:r>
    </w:p>
    <w:p>
      <w:pPr>
        <w:pStyle w:val="Heading1"/>
      </w:pPr>
      <w:r>
        <w:rPr>
          <w:color w:val="011645"/>
          <w:sz w:val="40"/>
        </w:rPr>
        <w:t>3. Validation du code de retrait</w:t>
      </w:r>
    </w:p>
    <w:p>
      <w:pPr>
        <w:pStyle w:val="ListBullet"/>
      </w:pPr>
      <w:r>
        <w:t>Saisie via app PAYBID &gt; Section transferts.</w:t>
      </w:r>
    </w:p>
    <w:p>
      <w:pPr>
        <w:pStyle w:val="ListBullet"/>
      </w:pPr>
      <w:r>
        <w:t>OU scan QR code présenté par le bénéficiaire (préféré).</w:t>
      </w:r>
    </w:p>
    <w:p>
      <w:pPr>
        <w:pStyle w:val="ListBullet"/>
      </w:pPr>
      <w:r>
        <w:t>Le code/QR est valide 48h après génération.</w:t>
      </w:r>
    </w:p>
    <w:p>
      <w:pPr>
        <w:pStyle w:val="ListBullet"/>
      </w:pPr>
      <w:r>
        <w:t>Après 3 saisies erronées : code bloqué 1h.</w:t>
      </w:r>
    </w:p>
    <w:p>
      <w:pPr>
        <w:pStyle w:val="Heading1"/>
      </w:pPr>
      <w:r>
        <w:rPr>
          <w:color w:val="011645"/>
          <w:sz w:val="40"/>
        </w:rPr>
        <w:t>4. Remise des espèces / virement / momo</w:t>
      </w:r>
    </w:p>
    <w:p>
      <w:pPr>
        <w:pStyle w:val="ListBullet"/>
      </w:pPr>
      <w:r>
        <w:t>Compter physiquement les espèces devant le bénéficiaire (2 fois).</w:t>
      </w:r>
    </w:p>
    <w:p>
      <w:pPr>
        <w:pStyle w:val="ListBullet"/>
      </w:pPr>
      <w:r>
        <w:t>Faire signer le reçu papier (en plus de la trace numérique).</w:t>
      </w:r>
    </w:p>
    <w:p>
      <w:pPr>
        <w:pStyle w:val="ListBullet"/>
      </w:pPr>
      <w:r>
        <w:t>En cas de mode banque : confirmer l'IBAN bénéficiaire avant push.</w:t>
      </w:r>
    </w:p>
    <w:p>
      <w:pPr>
        <w:pStyle w:val="ListBullet"/>
      </w:pPr>
      <w:r>
        <w:t>En cas de mode momo : confirmer le numéro complet avant push.</w:t>
      </w:r>
    </w:p>
    <w:p>
      <w:pPr>
        <w:pStyle w:val="Heading1"/>
      </w:pPr>
      <w:r>
        <w:rPr>
          <w:color w:val="011645"/>
          <w:sz w:val="40"/>
        </w:rPr>
        <w:t>5. Preuves à conserver</w:t>
      </w:r>
    </w:p>
    <w:p>
      <w:pPr>
        <w:pStyle w:val="ListBullet"/>
      </w:pPr>
      <w:r>
        <w:t>Photo de la pièce d'identité du bénéficiaire.</w:t>
      </w:r>
    </w:p>
    <w:p>
      <w:pPr>
        <w:pStyle w:val="ListBullet"/>
      </w:pPr>
      <w:r>
        <w:t>Reçu signé (papier).</w:t>
      </w:r>
    </w:p>
    <w:p>
      <w:pPr>
        <w:pStyle w:val="ListBullet"/>
      </w:pPr>
      <w:r>
        <w:t>Photo selfie agent + bénéficiaire si transaction &gt; 1 000 €.</w:t>
      </w:r>
    </w:p>
    <w:p>
      <w:pPr>
        <w:pStyle w:val="ListBullet"/>
      </w:pPr>
      <w:r>
        <w:t>Conservation 5 ans (compliance AML/CFT).</w:t>
      </w:r>
    </w:p>
    <w:p>
      <w:pPr>
        <w:pStyle w:val="Heading1"/>
      </w:pPr>
      <w:r>
        <w:rPr>
          <w:color w:val="011645"/>
          <w:sz w:val="40"/>
        </w:rPr>
        <w:t>6. Cas de refus de paiement</w:t>
      </w:r>
    </w:p>
    <w:p>
      <w:pPr>
        <w:pStyle w:val="ListBullet"/>
      </w:pPr>
      <w:r>
        <w:t>Identité non concordante → refuser et noter raison.</w:t>
      </w:r>
    </w:p>
    <w:p>
      <w:pPr>
        <w:pStyle w:val="ListBullet"/>
      </w:pPr>
      <w:r>
        <w:t>Pièce d'identité expirée → refuser.</w:t>
      </w:r>
    </w:p>
    <w:p>
      <w:pPr>
        <w:pStyle w:val="ListBullet"/>
      </w:pPr>
      <w:r>
        <w:t>Soupçon de fraude ou contrainte → refuser + alerte admin via app.</w:t>
      </w:r>
    </w:p>
    <w:p>
      <w:pPr>
        <w:pStyle w:val="ListBullet"/>
      </w:pPr>
      <w:r>
        <w:t>L'agent n'engage pas sa responsabilité s'il documente correctement le refus.</w:t>
      </w:r>
    </w:p>
    <w:p>
      <w:pPr>
        <w:pStyle w:val="Heading1"/>
      </w:pPr>
      <w:r>
        <w:rPr>
          <w:color w:val="011645"/>
          <w:sz w:val="40"/>
        </w:rPr>
        <w:t>7. Sécurité du point de service</w:t>
      </w:r>
    </w:p>
    <w:p>
      <w:pPr>
        <w:pStyle w:val="ListBullet"/>
      </w:pPr>
      <w:r>
        <w:t>Caisse sous clé avec accès limité.</w:t>
      </w:r>
    </w:p>
    <w:p>
      <w:pPr>
        <w:pStyle w:val="ListBullet"/>
      </w:pPr>
      <w:r>
        <w:t>Float quotidien max 2 000 000 XAF (ou équivalent) recommandé.</w:t>
      </w:r>
    </w:p>
    <w:p>
      <w:pPr>
        <w:pStyle w:val="ListBullet"/>
      </w:pPr>
      <w:r>
        <w:t>Surveillance vidéo conseillée.</w:t>
      </w:r>
    </w:p>
    <w:p>
      <w:pPr>
        <w:pStyle w:val="ListBullet"/>
      </w:pPr>
      <w:r>
        <w:t>Procédure de rappel siège en cas d'agression.</w:t>
      </w:r>
    </w:p>
    <w:p>
      <w:pPr>
        <w:pStyle w:val="Heading1"/>
      </w:pPr>
      <w:r>
        <w:rPr>
          <w:color w:val="011645"/>
          <w:sz w:val="40"/>
        </w:rPr>
        <w:t>8. Gestion de liquidité</w:t>
      </w:r>
    </w:p>
    <w:p>
      <w:pPr>
        <w:pStyle w:val="ListBullet"/>
      </w:pPr>
      <w:r>
        <w:t>Déclarer le float disponible chaque matin (avant 09h).</w:t>
      </w:r>
    </w:p>
    <w:p>
      <w:pPr>
        <w:pStyle w:val="ListBullet"/>
      </w:pPr>
      <w:r>
        <w:t>Demander réapprovisionnement si &gt; 80 % consommé.</w:t>
      </w:r>
    </w:p>
    <w:p>
      <w:pPr>
        <w:pStyle w:val="ListBullet"/>
      </w:pPr>
      <w:r>
        <w:t>Versement au siège : hebdo ou bi-mensuel selon volume.</w:t>
      </w:r>
    </w:p>
    <w:p>
      <w:pPr>
        <w:pStyle w:val="ListBullet"/>
      </w:pPr>
      <w:r>
        <w:t>Pas de transfert &gt; float disponible (auto-bloqué côté app).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