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22A6B"/>
          <w:sz w:val="40"/>
        </w:rPr>
        <w:t xml:space="preserve">SENDFLOO </w:t>
      </w:r>
      <w:r>
        <w:rPr>
          <w:color w:val="6E769A"/>
          <w:sz w:val="26"/>
        </w:rPr>
        <w:t>· documentation projet</w:t>
      </w:r>
    </w:p>
    <w:p/>
    <w:p/>
    <w:p/>
    <w:p/>
    <w:p/>
    <w:p/>
    <w:p>
      <w:pPr>
        <w:jc w:val="left"/>
      </w:pPr>
      <w:r>
        <w:rPr>
          <w:b/>
          <w:color w:val="011645"/>
          <w:sz w:val="72"/>
        </w:rPr>
        <w:t>Procédures opérationnelles standard (SOP)</w:t>
      </w:r>
    </w:p>
    <w:p>
      <w:pPr>
        <w:jc w:val="left"/>
      </w:pPr>
      <w:r>
        <w:rPr>
          <w:color w:val="363F5C"/>
          <w:sz w:val="32"/>
        </w:rPr>
        <w:t>SendFloo — Procédures pour exploitation quotidienne</w:t>
      </w:r>
    </w:p>
    <w:p/>
    <w:p/>
    <w:p/>
    <w:p/>
    <w:p/>
    <w:p/>
    <w:p/>
    <w:p/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Code document</w:t>
            </w:r>
          </w:p>
        </w:tc>
        <w:tc>
          <w:tcPr>
            <w:tcW w:type="dxa" w:w="4873"/>
          </w:tcPr>
          <w:p>
            <w:r>
              <w:t>SF-OPS-SOP-001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Version</w:t>
            </w:r>
          </w:p>
        </w:tc>
        <w:tc>
          <w:tcPr>
            <w:tcW w:type="dxa" w:w="4873"/>
          </w:tcPr>
          <w:p>
            <w:r>
              <w:t>1.0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Date d'édition</w:t>
            </w:r>
          </w:p>
        </w:tc>
        <w:tc>
          <w:tcPr>
            <w:tcW w:type="dxa" w:w="4873"/>
          </w:tcPr>
          <w:p>
            <w:r>
              <w:t>03/06/2026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Auteur(s)</w:t>
            </w:r>
          </w:p>
        </w:tc>
        <w:tc>
          <w:tcPr>
            <w:tcW w:type="dxa" w:w="4873"/>
          </w:tcPr>
          <w:p>
            <w:r>
              <w:t>Direction Produit SendFloo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Destinataires</w:t>
            </w:r>
          </w:p>
        </w:tc>
        <w:tc>
          <w:tcPr>
            <w:tcW w:type="dxa" w:w="4873"/>
          </w:tcPr>
          <w:p>
            <w:r>
              <w:t>Comité de Pilotage, Équipes Technique &amp; Métier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011645"/>
        </w:rPr>
        <w:t>Sommaire</w:t>
      </w:r>
    </w:p>
    <w:p>
      <w:r>
        <w:rPr>
          <w:b/>
          <w:color w:val="011645"/>
          <w:sz w:val="22"/>
        </w:rPr>
        <w:t>1. Création et suivi d'une transaction</w:t>
      </w:r>
    </w:p>
    <w:p>
      <w:r>
        <w:rPr>
          <w:b/>
          <w:color w:val="011645"/>
          <w:sz w:val="22"/>
        </w:rPr>
        <w:t>2. Affectation d'un payeur (agent)</w:t>
      </w:r>
    </w:p>
    <w:p>
      <w:r>
        <w:rPr>
          <w:b/>
          <w:color w:val="011645"/>
          <w:sz w:val="22"/>
        </w:rPr>
        <w:t>3. Mise à disposition (cash, banque, momo)</w:t>
      </w:r>
    </w:p>
    <w:p>
      <w:r>
        <w:rPr>
          <w:b/>
          <w:color w:val="011645"/>
          <w:sz w:val="22"/>
        </w:rPr>
        <w:t>4. Paiement au bénéficiaire</w:t>
      </w:r>
    </w:p>
    <w:p>
      <w:r>
        <w:rPr>
          <w:b/>
          <w:color w:val="011645"/>
          <w:sz w:val="22"/>
        </w:rPr>
        <w:t>5. Annulation</w:t>
      </w:r>
    </w:p>
    <w:p>
      <w:r>
        <w:rPr>
          <w:b/>
          <w:color w:val="011645"/>
          <w:sz w:val="22"/>
        </w:rPr>
        <w:t>6. Remboursement</w:t>
      </w:r>
    </w:p>
    <w:p>
      <w:r>
        <w:rPr>
          <w:b/>
          <w:color w:val="011645"/>
          <w:sz w:val="22"/>
        </w:rPr>
        <w:t>7. Gestion d'expiration</w:t>
      </w:r>
    </w:p>
    <w:p>
      <w:r>
        <w:rPr>
          <w:b/>
          <w:color w:val="011645"/>
          <w:sz w:val="22"/>
        </w:rPr>
        <w:t>8. Gestion des incidents</w:t>
      </w:r>
    </w:p>
    <w:p>
      <w:r>
        <w:rPr>
          <w:b/>
          <w:color w:val="011645"/>
          <w:sz w:val="22"/>
        </w:rPr>
        <w:t>9. Escalades</w:t>
      </w:r>
    </w:p>
    <w:p>
      <w:r>
        <w:br w:type="page"/>
      </w:r>
    </w:p>
    <w:p>
      <w:pPr>
        <w:pStyle w:val="Heading1"/>
      </w:pPr>
      <w:r>
        <w:rPr>
          <w:color w:val="011645"/>
          <w:sz w:val="40"/>
        </w:rPr>
        <w:t>1. Création et suivi d'une transaction</w:t>
      </w:r>
    </w:p>
    <w:p>
      <w:r>
        <w:rPr>
          <w:b w:val="0"/>
          <w:i w:val="0"/>
        </w:rPr>
        <w:t>Workflow type de prise en charge d'un transfert depuis sa création jusqu'à la complétion.</w:t>
      </w:r>
    </w:p>
    <w:p>
      <w:pPr>
        <w:pStyle w:val="ListBullet"/>
      </w:pPr>
      <w:r>
        <w:t>Réception via app SENDBID, statut DRAFT puis BIDDING dès initiation.</w:t>
      </w:r>
    </w:p>
    <w:p>
      <w:pPr>
        <w:pStyle w:val="ListBullet"/>
      </w:pPr>
      <w:r>
        <w:t>Suivi temps réel par le client + agent assigné via WebSocket.</w:t>
      </w:r>
    </w:p>
    <w:p>
      <w:pPr>
        <w:pStyle w:val="ListBullet"/>
      </w:pPr>
      <w:r>
        <w:t>Notifications push automatiques à chaque changement de statut.</w:t>
      </w:r>
    </w:p>
    <w:p>
      <w:pPr>
        <w:pStyle w:val="ListBullet"/>
      </w:pPr>
      <w:r>
        <w:t>Support client en visibilité totale via panel Admin.</w:t>
      </w:r>
    </w:p>
    <w:p>
      <w:pPr>
        <w:pStyle w:val="Heading1"/>
      </w:pPr>
      <w:r>
        <w:rPr>
          <w:color w:val="011645"/>
          <w:sz w:val="40"/>
        </w:rPr>
        <w:t>2. Affectation d'un payeur (agent)</w:t>
      </w:r>
    </w:p>
    <w:p>
      <w:pPr>
        <w:pStyle w:val="ListBullet"/>
      </w:pPr>
      <w:r>
        <w:t>Broadcast WebSocket à tous agents corridor+ville (50 max).</w:t>
      </w:r>
    </w:p>
    <w:p>
      <w:pPr>
        <w:pStyle w:val="ListBullet"/>
      </w:pPr>
      <w:r>
        <w:t>Agent éligible : approved, available, KYC pro Tier 2+.</w:t>
      </w:r>
    </w:p>
    <w:p>
      <w:pPr>
        <w:pStyle w:val="ListBullet"/>
      </w:pPr>
      <w:r>
        <w:t>Bid soumis dans la fenêtre 30 sec.</w:t>
      </w:r>
    </w:p>
    <w:p>
      <w:pPr>
        <w:pStyle w:val="ListBullet"/>
      </w:pPr>
      <w:r>
        <w:t>Sélection par client OU auto-sélection meilleur score si timeout.</w:t>
      </w:r>
    </w:p>
    <w:p>
      <w:pPr>
        <w:pStyle w:val="Heading1"/>
      </w:pPr>
      <w:r>
        <w:rPr>
          <w:color w:val="011645"/>
          <w:sz w:val="40"/>
        </w:rPr>
        <w:t>3. Mise à disposition (cash, banque, momo)</w:t>
      </w:r>
    </w:p>
    <w:p>
      <w:pPr>
        <w:pStyle w:val="Heading2"/>
      </w:pPr>
      <w:r>
        <w:rPr>
          <w:color w:val="022A6B"/>
          <w:sz w:val="30"/>
        </w:rPr>
        <w:t>3.1 Mode cash</w:t>
      </w:r>
    </w:p>
    <w:p>
      <w:pPr>
        <w:pStyle w:val="ListBullet"/>
      </w:pPr>
      <w:r>
        <w:t>Génération code retrait 10 chiffres + QR HMAC-SHA256 valide 48h.</w:t>
      </w:r>
    </w:p>
    <w:p>
      <w:pPr>
        <w:pStyle w:val="ListBullet"/>
      </w:pPr>
      <w:r>
        <w:t>Bénéficiaire se présente avec pièce d'identité + code/QR.</w:t>
      </w:r>
    </w:p>
    <w:p>
      <w:pPr>
        <w:pStyle w:val="ListBullet"/>
      </w:pPr>
      <w:r>
        <w:t>Agent scanne QR, valide ID, remet espèces, marque COMPLETED.</w:t>
      </w:r>
    </w:p>
    <w:p>
      <w:pPr>
        <w:pStyle w:val="Heading2"/>
      </w:pPr>
      <w:r>
        <w:rPr>
          <w:color w:val="022A6B"/>
          <w:sz w:val="30"/>
        </w:rPr>
        <w:t>3.2 Mode banque</w:t>
      </w:r>
    </w:p>
    <w:p>
      <w:pPr>
        <w:pStyle w:val="ListBullet"/>
      </w:pPr>
      <w:r>
        <w:t>Virement SEPA Instant si IBAN UE, sinon SWIFT (J+1).</w:t>
      </w:r>
    </w:p>
    <w:p>
      <w:pPr>
        <w:pStyle w:val="ListBullet"/>
      </w:pPr>
      <w:r>
        <w:t>Confirmation via webhook bancaire automatisé.</w:t>
      </w:r>
    </w:p>
    <w:p>
      <w:pPr>
        <w:pStyle w:val="Heading2"/>
      </w:pPr>
      <w:r>
        <w:rPr>
          <w:color w:val="022A6B"/>
          <w:sz w:val="30"/>
        </w:rPr>
        <w:t>3.3 Mode Mobile Money</w:t>
      </w:r>
    </w:p>
    <w:p>
      <w:pPr>
        <w:pStyle w:val="ListBullet"/>
      </w:pPr>
      <w:r>
        <w:t>Push direct vers numéro MTN/Orange/Wave/Moov.</w:t>
      </w:r>
    </w:p>
    <w:p>
      <w:pPr>
        <w:pStyle w:val="ListBullet"/>
      </w:pPr>
      <w:r>
        <w:t>Confirmation via API partenaire en quelques minutes.</w:t>
      </w:r>
    </w:p>
    <w:p>
      <w:pPr>
        <w:pStyle w:val="Heading1"/>
      </w:pPr>
      <w:r>
        <w:rPr>
          <w:color w:val="011645"/>
          <w:sz w:val="40"/>
        </w:rPr>
        <w:t>4. Paiement au bénéficiaire</w:t>
      </w:r>
    </w:p>
    <w:p>
      <w:pPr>
        <w:pStyle w:val="ListBullet"/>
      </w:pPr>
      <w:r>
        <w:t>Avant remise : vérification PIN agent + photo ID bénéf si Tier ≥ 2.</w:t>
      </w:r>
    </w:p>
    <w:p>
      <w:pPr>
        <w:pStyle w:val="ListBullet"/>
      </w:pPr>
      <w:r>
        <w:t>Preuve à conserver : photo ID + signature + code/QR scanné (5 ans).</w:t>
      </w:r>
    </w:p>
    <w:p>
      <w:pPr>
        <w:pStyle w:val="ListBullet"/>
      </w:pPr>
      <w:r>
        <w:t>Si refus de remise : raison documentée + reverse au statut BIDDING.</w:t>
      </w:r>
    </w:p>
    <w:p>
      <w:pPr>
        <w:pStyle w:val="Heading1"/>
      </w:pPr>
      <w:r>
        <w:rPr>
          <w:color w:val="011645"/>
          <w:sz w:val="40"/>
        </w:rPr>
        <w:t>5. Annulation</w:t>
      </w:r>
    </w:p>
    <w:p>
      <w:pPr>
        <w:pStyle w:val="ListBullet"/>
      </w:pPr>
      <w:r>
        <w:t>Client peut annuler tant que statut ∈ {BIDDING, AGENT_ASSIGNED, READY_FOR_PICKUP}.</w:t>
      </w:r>
    </w:p>
    <w:p>
      <w:pPr>
        <w:pStyle w:val="ListBullet"/>
      </w:pPr>
      <w:r>
        <w:t>Annulation après PROCESSING impossible → ouverture DISPUTED.</w:t>
      </w:r>
    </w:p>
    <w:p>
      <w:pPr>
        <w:pStyle w:val="ListBullet"/>
      </w:pPr>
      <w:r>
        <w:t>Frais retenus selon table de remboursement (voir Cat. règles métier).</w:t>
      </w:r>
    </w:p>
    <w:p>
      <w:pPr>
        <w:pStyle w:val="Heading1"/>
      </w:pPr>
      <w:r>
        <w:rPr>
          <w:color w:val="011645"/>
          <w:sz w:val="40"/>
        </w:rPr>
        <w:t>6. Remboursement</w:t>
      </w:r>
    </w:p>
    <w:p>
      <w:pPr>
        <w:pStyle w:val="ListBullet"/>
      </w:pPr>
      <w:r>
        <w:t>Refund crédite le wallet client (instantané) ou la carte d'origine (3-7j ouvrés).</w:t>
      </w:r>
    </w:p>
    <w:p>
      <w:pPr>
        <w:pStyle w:val="ListBullet"/>
      </w:pPr>
      <w:r>
        <w:t>Audit log obligatoire pour tout refund manuel (admin).</w:t>
      </w:r>
    </w:p>
    <w:p>
      <w:pPr>
        <w:pStyle w:val="Heading1"/>
      </w:pPr>
      <w:r>
        <w:rPr>
          <w:color w:val="011645"/>
          <w:sz w:val="40"/>
        </w:rPr>
        <w:t>7. Gestion d'expiration</w:t>
      </w:r>
    </w:p>
    <w:p>
      <w:pPr>
        <w:pStyle w:val="ListBullet"/>
      </w:pPr>
      <w:r>
        <w:t>BIDDING 30s × 3 rounds max → CANCELLED + refund 100 %.</w:t>
      </w:r>
    </w:p>
    <w:p>
      <w:pPr>
        <w:pStyle w:val="ListBullet"/>
      </w:pPr>
      <w:r>
        <w:t>Mode cash 48h sans pickup → EXPIRED + refund 60 %.</w:t>
      </w:r>
    </w:p>
    <w:p>
      <w:pPr>
        <w:pStyle w:val="ListBullet"/>
      </w:pPr>
      <w:r>
        <w:t>Mode banque 72h sans remise → EXPIRED + refund 100 %.</w:t>
      </w:r>
    </w:p>
    <w:p>
      <w:pPr>
        <w:pStyle w:val="Heading1"/>
      </w:pPr>
      <w:r>
        <w:rPr>
          <w:color w:val="011645"/>
          <w:sz w:val="40"/>
        </w:rPr>
        <w:t>8. Gestion des incidents</w:t>
      </w:r>
    </w:p>
    <w:p>
      <w:pPr>
        <w:pStyle w:val="ListBullet"/>
      </w:pPr>
      <w:r>
        <w:t>Niveau 1 : bug non bloquant → ticket Linear, résolution sprint suivant.</w:t>
      </w:r>
    </w:p>
    <w:p>
      <w:pPr>
        <w:pStyle w:val="ListBullet"/>
      </w:pPr>
      <w:r>
        <w:t>Niveau 2 : dégradation service → on-call notifié immédiat.</w:t>
      </w:r>
    </w:p>
    <w:p>
      <w:pPr>
        <w:pStyle w:val="ListBullet"/>
      </w:pPr>
      <w:r>
        <w:t>Niveau 3 : panne critique → cellule de crise (CTO + COO + Comm).</w:t>
      </w:r>
    </w:p>
    <w:p>
      <w:pPr>
        <w:pStyle w:val="Heading1"/>
      </w:pPr>
      <w:r>
        <w:rPr>
          <w:color w:val="011645"/>
          <w:sz w:val="40"/>
        </w:rPr>
        <w:t>9. Escalades</w:t>
      </w:r>
    </w:p>
    <w:p>
      <w:pPr>
        <w:pStyle w:val="ListBullet"/>
      </w:pPr>
      <w:r>
        <w:t>Support N1 → Compliance ou Tech selon nature.</w:t>
      </w:r>
    </w:p>
    <w:p>
      <w:pPr>
        <w:pStyle w:val="ListBullet"/>
      </w:pPr>
      <w:r>
        <w:t>Délais : N1 ≤ 4h, N2 ≤ 1j, N3 ≤ 2h critique.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