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Cartographie des risques</w:t>
      </w:r>
    </w:p>
    <w:p>
      <w:pPr>
        <w:jc w:val="left"/>
      </w:pPr>
      <w:r>
        <w:rPr>
          <w:color w:val="363F5C"/>
          <w:sz w:val="32"/>
        </w:rPr>
        <w:t>SendFloo — Identification, mitigation, monitoring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SF-COM-RIS-002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Risques opérationnels</w:t>
      </w:r>
    </w:p>
    <w:p>
      <w:r>
        <w:rPr>
          <w:b/>
          <w:color w:val="011645"/>
          <w:sz w:val="22"/>
        </w:rPr>
        <w:t>2. Risques de fraude</w:t>
      </w:r>
    </w:p>
    <w:p>
      <w:r>
        <w:rPr>
          <w:b/>
          <w:color w:val="011645"/>
          <w:sz w:val="22"/>
        </w:rPr>
        <w:t>3. Risques conformité</w:t>
      </w:r>
    </w:p>
    <w:p>
      <w:r>
        <w:rPr>
          <w:b/>
          <w:color w:val="011645"/>
          <w:sz w:val="22"/>
        </w:rPr>
        <w:t>4. Risques techniques</w:t>
      </w:r>
    </w:p>
    <w:p>
      <w:r>
        <w:rPr>
          <w:b/>
          <w:color w:val="011645"/>
          <w:sz w:val="22"/>
        </w:rPr>
        <w:t>5. Risques partenaires</w:t>
      </w:r>
    </w:p>
    <w:p>
      <w:r>
        <w:rPr>
          <w:b/>
          <w:color w:val="011645"/>
          <w:sz w:val="22"/>
        </w:rPr>
        <w:t>6. Criticité et plans de mitigation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Risques opérationnels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Risque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Probabilité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Contrôle existant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Erreur saisie agent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Moyenne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Moyen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Double validation + audit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Float agent insuffisant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Moyenne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Moyen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Alerte seuil + auto-disable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Indisponibilité système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Faible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Critique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Monitoring + PCA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Erreur réconciliation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Faible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Élevé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Cron quotidien + alerte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2. Risques de fraude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Usurpation identité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KYC + selfie live + scoring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Carte volée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3DSecure obligatoire + check Stripe Radar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Collusion agent ↔ client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Audit aléatoire + scoring patterns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Smurfing (fractionnement)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Velocity check + plafond consolidé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Phishing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Sensibilisation utilisateurs + alerte connexion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3. Risques conformité</w:t>
      </w:r>
    </w:p>
    <w:p>
      <w:pPr>
        <w:pStyle w:val="ListBullet"/>
      </w:pPr>
      <w:r>
        <w:t>Non-déclaration TRACFIN → sanction ACPR + perte agrément.</w:t>
      </w:r>
    </w:p>
    <w:p>
      <w:pPr>
        <w:pStyle w:val="ListBullet"/>
      </w:pPr>
      <w:r>
        <w:t>Conservation insuffisante (&lt; 5 ans) → amende RGPD/AML.</w:t>
      </w:r>
    </w:p>
    <w:p>
      <w:pPr>
        <w:pStyle w:val="ListBullet"/>
      </w:pPr>
      <w:r>
        <w:t>Sanctions screening défaillant → exposition pénale.</w:t>
      </w:r>
    </w:p>
    <w:p>
      <w:pPr>
        <w:pStyle w:val="ListBullet"/>
      </w:pPr>
      <w:r>
        <w:t>Mitigations : compliance officer dédié + revues trimestrielles + audit externe annuel.</w:t>
      </w:r>
    </w:p>
    <w:p>
      <w:pPr>
        <w:pStyle w:val="Heading1"/>
      </w:pPr>
      <w:r>
        <w:rPr>
          <w:color w:val="011645"/>
          <w:sz w:val="40"/>
        </w:rPr>
        <w:t>4. Risques techniques</w:t>
      </w:r>
    </w:p>
    <w:p>
      <w:pPr>
        <w:pStyle w:val="ListBullet"/>
      </w:pPr>
      <w:r>
        <w:t>Faille sécurité (XSS, SQL injection, RCE) → audit pen-test annuel.</w:t>
      </w:r>
    </w:p>
    <w:p>
      <w:pPr>
        <w:pStyle w:val="ListBullet"/>
      </w:pPr>
      <w:r>
        <w:t>Perte de données → backups quotidiens + tests restauration mensuels.</w:t>
      </w:r>
    </w:p>
    <w:p>
      <w:pPr>
        <w:pStyle w:val="ListBullet"/>
      </w:pPr>
      <w:r>
        <w:t>Dépendance fournisseur (Stripe, MongoDB Atlas) → SLA contractuels + multi-cloud cible Y2.</w:t>
      </w:r>
    </w:p>
    <w:p>
      <w:pPr>
        <w:pStyle w:val="ListBullet"/>
      </w:pPr>
      <w:r>
        <w:t>Bug critique en prod → release pipeline avec staging + canary deploys.</w:t>
      </w:r>
    </w:p>
    <w:p>
      <w:pPr>
        <w:pStyle w:val="Heading1"/>
      </w:pPr>
      <w:r>
        <w:rPr>
          <w:color w:val="011645"/>
          <w:sz w:val="40"/>
        </w:rPr>
        <w:t>5. Risques partenaires</w:t>
      </w:r>
    </w:p>
    <w:p>
      <w:pPr>
        <w:pStyle w:val="ListBullet"/>
      </w:pPr>
      <w:r>
        <w:t>Défaillance partenaire Mobile Money → multi-partenaires par corridor.</w:t>
      </w:r>
    </w:p>
    <w:p>
      <w:pPr>
        <w:pStyle w:val="ListBullet"/>
      </w:pPr>
      <w:r>
        <w:t>Changement de tarification Stripe → modèle de coût absorbable jusqu'à +20 %.</w:t>
      </w:r>
    </w:p>
    <w:p>
      <w:pPr>
        <w:pStyle w:val="ListBullet"/>
      </w:pPr>
      <w:r>
        <w:t>Hacking partenaire → audit annuel des intégrations + tokens limités.</w:t>
      </w:r>
    </w:p>
    <w:p>
      <w:pPr>
        <w:pStyle w:val="Heading1"/>
      </w:pPr>
      <w:r>
        <w:rPr>
          <w:color w:val="011645"/>
          <w:sz w:val="40"/>
        </w:rPr>
        <w:t>6. Criticité et plans de mitigation</w:t>
      </w:r>
    </w:p>
    <w:p>
      <w:r>
        <w:rPr>
          <w:b w:val="0"/>
          <w:i w:val="0"/>
        </w:rPr>
        <w:t>Synthèse matricielle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Catégorie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Risques majeurs identifiés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Plan d'action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Opérationnel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PCA + SOP + formation continue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Fraude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Scoring + compliance team + sanctions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Conformité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Audit + revues trimestrielles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Technique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Pen-test + monitoring + backups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Partenaires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Multi-fournisseurs + SLA contractuels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