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Contrats et conventions partenaires</w:t>
      </w:r>
    </w:p>
    <w:p>
      <w:pPr>
        <w:jc w:val="left"/>
      </w:pPr>
      <w:r>
        <w:rPr>
          <w:color w:val="363F5C"/>
          <w:sz w:val="32"/>
        </w:rPr>
        <w:t>SendFloo — Modèles et clauses-types pour partenaires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SF-COM-CTR-004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Obligations des parties</w:t>
      </w:r>
    </w:p>
    <w:p>
      <w:r>
        <w:rPr>
          <w:b/>
          <w:color w:val="011645"/>
          <w:sz w:val="22"/>
        </w:rPr>
        <w:t>2. SLA</w:t>
      </w:r>
    </w:p>
    <w:p>
      <w:r>
        <w:rPr>
          <w:b/>
          <w:color w:val="011645"/>
          <w:sz w:val="22"/>
        </w:rPr>
        <w:t>3. Responsabilité</w:t>
      </w:r>
    </w:p>
    <w:p>
      <w:r>
        <w:rPr>
          <w:b/>
          <w:color w:val="011645"/>
          <w:sz w:val="22"/>
        </w:rPr>
        <w:t>4. Conformité</w:t>
      </w:r>
    </w:p>
    <w:p>
      <w:r>
        <w:rPr>
          <w:b/>
          <w:color w:val="011645"/>
          <w:sz w:val="22"/>
        </w:rPr>
        <w:t>5. Sécurité</w:t>
      </w:r>
    </w:p>
    <w:p>
      <w:r>
        <w:rPr>
          <w:b/>
          <w:color w:val="011645"/>
          <w:sz w:val="22"/>
        </w:rPr>
        <w:t>6. Modalités financières</w:t>
      </w:r>
    </w:p>
    <w:p>
      <w:r>
        <w:rPr>
          <w:b/>
          <w:color w:val="011645"/>
          <w:sz w:val="22"/>
        </w:rPr>
        <w:t>7. Réversibilité</w:t>
      </w:r>
    </w:p>
    <w:p>
      <w:r>
        <w:rPr>
          <w:b/>
          <w:color w:val="011645"/>
          <w:sz w:val="22"/>
        </w:rPr>
        <w:t>8. Auditabilité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Obligations des parties</w:t>
      </w:r>
    </w:p>
    <w:p>
      <w:pPr>
        <w:pStyle w:val="ListBullet"/>
      </w:pPr>
      <w:r>
        <w:t>SendFloo : disponibilité plate-forme 99,9 %, support technique 24/7, formation initiale.</w:t>
      </w:r>
    </w:p>
    <w:p>
      <w:pPr>
        <w:pStyle w:val="ListBullet"/>
      </w:pPr>
      <w:r>
        <w:t>Partenaire : KYC pro à jour, respect SOP, sécurité point de service, conservation des preuves.</w:t>
      </w:r>
    </w:p>
    <w:p>
      <w:pPr>
        <w:pStyle w:val="Heading1"/>
      </w:pPr>
      <w:r>
        <w:rPr>
          <w:color w:val="011645"/>
          <w:sz w:val="40"/>
        </w:rPr>
        <w:t>2.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Engagement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Disponibilité API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99,9 % mensuel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Délai support partenaire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≤ 4h ouvrées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Délai paiement commission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Mensuel J+5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Délai notification incident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≤ 1h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Responsabilité</w:t>
      </w:r>
    </w:p>
    <w:p>
      <w:pPr>
        <w:pStyle w:val="ListBullet"/>
      </w:pPr>
      <w:r>
        <w:t>Limitation : 3 mois de commissions cumulées sur 12 derniers mois.</w:t>
      </w:r>
    </w:p>
    <w:p>
      <w:pPr>
        <w:pStyle w:val="ListBullet"/>
      </w:pPr>
      <w:r>
        <w:t>Exclusions : force majeure, faits du client/bénéficiaire, défaillance d'un tiers (telco).</w:t>
      </w:r>
    </w:p>
    <w:p>
      <w:pPr>
        <w:pStyle w:val="Heading1"/>
      </w:pPr>
      <w:r>
        <w:rPr>
          <w:color w:val="011645"/>
          <w:sz w:val="40"/>
        </w:rPr>
        <w:t>4. Conformité</w:t>
      </w:r>
    </w:p>
    <w:p>
      <w:pPr>
        <w:pStyle w:val="ListBullet"/>
      </w:pPr>
      <w:r>
        <w:t>Le partenaire s'engage à respecter le KYC, AML, RGPD.</w:t>
      </w:r>
    </w:p>
    <w:p>
      <w:pPr>
        <w:pStyle w:val="ListBullet"/>
      </w:pPr>
      <w:r>
        <w:t>Audit annuel autorisé par SendFloo.</w:t>
      </w:r>
    </w:p>
    <w:p>
      <w:pPr>
        <w:pStyle w:val="ListBullet"/>
      </w:pPr>
      <w:r>
        <w:t>Coopération inconditionnelle avec demandes régulateurs.</w:t>
      </w:r>
    </w:p>
    <w:p>
      <w:pPr>
        <w:pStyle w:val="Heading1"/>
      </w:pPr>
      <w:r>
        <w:rPr>
          <w:color w:val="011645"/>
          <w:sz w:val="40"/>
        </w:rPr>
        <w:t>5. Sécurité</w:t>
      </w:r>
    </w:p>
    <w:p>
      <w:pPr>
        <w:pStyle w:val="ListBullet"/>
      </w:pPr>
      <w:r>
        <w:t>Pas de partage de credentials.</w:t>
      </w:r>
    </w:p>
    <w:p>
      <w:pPr>
        <w:pStyle w:val="ListBullet"/>
      </w:pPr>
      <w:r>
        <w:t>Stockage chiffré des données client.</w:t>
      </w:r>
    </w:p>
    <w:p>
      <w:pPr>
        <w:pStyle w:val="ListBullet"/>
      </w:pPr>
      <w:r>
        <w:t>Notification breach sous 24h.</w:t>
      </w:r>
    </w:p>
    <w:p>
      <w:pPr>
        <w:pStyle w:val="Heading1"/>
      </w:pPr>
      <w:r>
        <w:rPr>
          <w:color w:val="011645"/>
          <w:sz w:val="40"/>
        </w:rPr>
        <w:t>6. Modalités financières</w:t>
      </w:r>
    </w:p>
    <w:p>
      <w:pPr>
        <w:pStyle w:val="ListBullet"/>
      </w:pPr>
      <w:r>
        <w:t>Commission agent : 1,2 à 4,5 % du transfert (issue de l'enchère).</w:t>
      </w:r>
    </w:p>
    <w:p>
      <w:pPr>
        <w:pStyle w:val="ListBullet"/>
      </w:pPr>
      <w:r>
        <w:t>Override super-agent : 10 % du volume agents enfants.</w:t>
      </w:r>
    </w:p>
    <w:p>
      <w:pPr>
        <w:pStyle w:val="ListBullet"/>
      </w:pPr>
      <w:r>
        <w:t>Abonnement PayBID : 9,90 €/mois (ou 99 €/an).</w:t>
      </w:r>
    </w:p>
    <w:p>
      <w:pPr>
        <w:pStyle w:val="ListBullet"/>
      </w:pPr>
      <w:r>
        <w:t>Paiement : virement bancaire mensuel J+5.</w:t>
      </w:r>
    </w:p>
    <w:p>
      <w:pPr>
        <w:pStyle w:val="Heading1"/>
      </w:pPr>
      <w:r>
        <w:rPr>
          <w:color w:val="011645"/>
          <w:sz w:val="40"/>
        </w:rPr>
        <w:t>7. Réversibilité</w:t>
      </w:r>
    </w:p>
    <w:p>
      <w:pPr>
        <w:pStyle w:val="ListBullet"/>
      </w:pPr>
      <w:r>
        <w:t>Préavis résiliation : 60 jours.</w:t>
      </w:r>
    </w:p>
    <w:p>
      <w:pPr>
        <w:pStyle w:val="ListBullet"/>
      </w:pPr>
      <w:r>
        <w:t>Solde commissions payé sous 30 jours après résiliation.</w:t>
      </w:r>
    </w:p>
    <w:p>
      <w:pPr>
        <w:pStyle w:val="ListBullet"/>
      </w:pPr>
      <w:r>
        <w:t>Retour des documents et données dans 90 jours.</w:t>
      </w:r>
    </w:p>
    <w:p>
      <w:pPr>
        <w:pStyle w:val="Heading1"/>
      </w:pPr>
      <w:r>
        <w:rPr>
          <w:color w:val="011645"/>
          <w:sz w:val="40"/>
        </w:rPr>
        <w:t>8. Auditabilité</w:t>
      </w:r>
    </w:p>
    <w:p>
      <w:pPr>
        <w:pStyle w:val="ListBullet"/>
      </w:pPr>
      <w:r>
        <w:t>Tous échanges API loggés.</w:t>
      </w:r>
    </w:p>
    <w:p>
      <w:pPr>
        <w:pStyle w:val="ListBullet"/>
      </w:pPr>
      <w:r>
        <w:t>Réconciliation comptable accessible pour le partenaire.</w:t>
      </w:r>
    </w:p>
    <w:p>
      <w:pPr>
        <w:pStyle w:val="ListBullet"/>
      </w:pPr>
      <w:r>
        <w:t>Droit d'audit avec préavis 30 jours.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