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22A6B"/>
          <w:sz w:val="40"/>
        </w:rPr>
        <w:t xml:space="preserve">SENDFLOO </w:t>
      </w:r>
      <w:r>
        <w:rPr>
          <w:color w:val="6E769A"/>
          <w:sz w:val="26"/>
        </w:rPr>
        <w:t>· documentation projet</w:t>
      </w:r>
    </w:p>
    <w:p/>
    <w:p/>
    <w:p/>
    <w:p/>
    <w:p/>
    <w:p/>
    <w:p>
      <w:pPr>
        <w:jc w:val="left"/>
      </w:pPr>
      <w:r>
        <w:rPr>
          <w:b/>
          <w:color w:val="011645"/>
          <w:sz w:val="72"/>
        </w:rPr>
        <w:t>Politique KYC / AML-CFT</w:t>
      </w:r>
    </w:p>
    <w:p>
      <w:pPr>
        <w:jc w:val="left"/>
      </w:pPr>
      <w:r>
        <w:rPr>
          <w:color w:val="363F5C"/>
          <w:sz w:val="32"/>
        </w:rPr>
        <w:t>SendFloo — Identification client, lutte anti-blanchiment et financement du terrorisme</w:t>
      </w:r>
    </w:p>
    <w:p/>
    <w:p/>
    <w:p/>
    <w:p/>
    <w:p/>
    <w:p/>
    <w:p/>
    <w:p/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Code document</w:t>
            </w:r>
          </w:p>
        </w:tc>
        <w:tc>
          <w:tcPr>
            <w:tcW w:type="dxa" w:w="4873"/>
          </w:tcPr>
          <w:p>
            <w:r>
              <w:t>SF-COM-KYC-001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Version</w:t>
            </w:r>
          </w:p>
        </w:tc>
        <w:tc>
          <w:tcPr>
            <w:tcW w:type="dxa" w:w="4873"/>
          </w:tcPr>
          <w:p>
            <w:r>
              <w:t>1.0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Date d'édition</w:t>
            </w:r>
          </w:p>
        </w:tc>
        <w:tc>
          <w:tcPr>
            <w:tcW w:type="dxa" w:w="4873"/>
          </w:tcPr>
          <w:p>
            <w:r>
              <w:t>03/06/2026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Auteur(s)</w:t>
            </w:r>
          </w:p>
        </w:tc>
        <w:tc>
          <w:tcPr>
            <w:tcW w:type="dxa" w:w="4873"/>
          </w:tcPr>
          <w:p>
            <w:r>
              <w:t>Direction Produit SendFloo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Destinataires</w:t>
            </w:r>
          </w:p>
        </w:tc>
        <w:tc>
          <w:tcPr>
            <w:tcW w:type="dxa" w:w="4873"/>
          </w:tcPr>
          <w:p>
            <w:r>
              <w:t>Comité de Pilotage, Équipes Technique &amp; Métier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011645"/>
        </w:rPr>
        <w:t>Sommaire</w:t>
      </w:r>
    </w:p>
    <w:p>
      <w:r>
        <w:rPr>
          <w:b/>
          <w:color w:val="011645"/>
          <w:sz w:val="22"/>
        </w:rPr>
        <w:t>1. Exigences d'identification client</w:t>
      </w:r>
    </w:p>
    <w:p>
      <w:r>
        <w:rPr>
          <w:b/>
          <w:color w:val="011645"/>
          <w:sz w:val="22"/>
        </w:rPr>
        <w:t>2. Seuils et tiers</w:t>
      </w:r>
    </w:p>
    <w:p>
      <w:r>
        <w:rPr>
          <w:b/>
          <w:color w:val="011645"/>
          <w:sz w:val="22"/>
        </w:rPr>
        <w:t>3. Documents requis</w:t>
      </w:r>
    </w:p>
    <w:p>
      <w:r>
        <w:rPr>
          <w:b/>
          <w:color w:val="011645"/>
          <w:sz w:val="22"/>
        </w:rPr>
        <w:t>4. Filtrage (screening)</w:t>
      </w:r>
    </w:p>
    <w:p>
      <w:r>
        <w:rPr>
          <w:b/>
          <w:color w:val="011645"/>
          <w:sz w:val="22"/>
        </w:rPr>
        <w:t>5. Surveillance des transactions</w:t>
      </w:r>
    </w:p>
    <w:p>
      <w:r>
        <w:rPr>
          <w:b/>
          <w:color w:val="011645"/>
          <w:sz w:val="22"/>
        </w:rPr>
        <w:t>6. Gestion des alertes</w:t>
      </w:r>
    </w:p>
    <w:p>
      <w:r>
        <w:rPr>
          <w:b/>
          <w:color w:val="011645"/>
          <w:sz w:val="22"/>
        </w:rPr>
        <w:t>7. Déclaration d'opérations suspectes</w:t>
      </w:r>
    </w:p>
    <w:p>
      <w:r>
        <w:rPr>
          <w:b/>
          <w:color w:val="011645"/>
          <w:sz w:val="22"/>
        </w:rPr>
        <w:t>8. Conservation documentaire</w:t>
      </w:r>
    </w:p>
    <w:p>
      <w:r>
        <w:br w:type="page"/>
      </w:r>
    </w:p>
    <w:p>
      <w:pPr>
        <w:pStyle w:val="Heading1"/>
      </w:pPr>
      <w:r>
        <w:rPr>
          <w:color w:val="011645"/>
          <w:sz w:val="40"/>
        </w:rPr>
        <w:t>1. Exigences d'identification client</w:t>
      </w:r>
    </w:p>
    <w:p>
      <w:pPr>
        <w:pStyle w:val="ListBullet"/>
      </w:pPr>
      <w:r>
        <w:t>Identification obligatoire dès le 1er transfert (Tier 1 minimum).</w:t>
      </w:r>
    </w:p>
    <w:p>
      <w:pPr>
        <w:pStyle w:val="ListBullet"/>
      </w:pPr>
      <w:r>
        <w:t>Conservation pièces : 5 ans après dernière transaction.</w:t>
      </w:r>
    </w:p>
    <w:p>
      <w:pPr>
        <w:pStyle w:val="ListBullet"/>
      </w:pPr>
      <w:r>
        <w:t>Vérification annuelle minimum pour Tier 2 et 3.</w:t>
      </w:r>
    </w:p>
    <w:p>
      <w:pPr>
        <w:pStyle w:val="Heading1"/>
      </w:pPr>
      <w:r>
        <w:rPr>
          <w:color w:val="011645"/>
          <w:sz w:val="40"/>
        </w:rPr>
        <w:t>2. Seuils et tiers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Tier</w:t>
            </w:r>
          </w:p>
        </w:tc>
        <w:tc>
          <w:tcPr>
            <w:tcW w:type="dxa" w:w="2436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Seuil jour</w:t>
            </w:r>
          </w:p>
        </w:tc>
        <w:tc>
          <w:tcPr>
            <w:tcW w:type="dxa" w:w="2436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Seuil mois</w:t>
            </w:r>
          </w:p>
        </w:tc>
        <w:tc>
          <w:tcPr>
            <w:tcW w:type="dxa" w:w="2436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Documents requis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0 €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0 €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Aucun — compte créé non actif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500 €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2 000 €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Email + Phone vérifiés + nom + DDN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5 000 €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20 000 €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+ Photo ID (passeport/CNI) + selfie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20 000 €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100 000 €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+ Justificatif domicile + origine fonds</w:t>
            </w:r>
          </w:p>
        </w:tc>
      </w:tr>
    </w:tbl>
    <w:p>
      <w:pPr>
        <w:pStyle w:val="Heading1"/>
      </w:pPr>
      <w:r>
        <w:rPr>
          <w:color w:val="011645"/>
          <w:sz w:val="40"/>
        </w:rPr>
        <w:t>3. Documents requis</w:t>
      </w:r>
    </w:p>
    <w:p>
      <w:pPr>
        <w:pStyle w:val="ListBullet"/>
      </w:pPr>
      <w:r>
        <w:t>Tier 1 : nom complet, date de naissance, adresse, email + téléphone vérifiés.</w:t>
      </w:r>
    </w:p>
    <w:p>
      <w:pPr>
        <w:pStyle w:val="ListBullet"/>
      </w:pPr>
      <w:r>
        <w:t>Tier 2 : passeport OU CNI (recto + verso) OU titre de séjour + selfie live.</w:t>
      </w:r>
    </w:p>
    <w:p>
      <w:pPr>
        <w:pStyle w:val="ListBullet"/>
      </w:pPr>
      <w:r>
        <w:t>Tier 3 : justificatif domicile &lt; 3 mois + relevé bancaire ou fiche paie.</w:t>
      </w:r>
    </w:p>
    <w:p>
      <w:pPr>
        <w:pStyle w:val="Heading1"/>
      </w:pPr>
      <w:r>
        <w:rPr>
          <w:color w:val="011645"/>
          <w:sz w:val="40"/>
        </w:rPr>
        <w:t>4. Filtrage (screening)</w:t>
      </w:r>
    </w:p>
    <w:p>
      <w:pPr>
        <w:pStyle w:val="ListBullet"/>
      </w:pPr>
      <w:r>
        <w:t>Check contre listes de sanctions : OFAC, UN, EU au signup et à chaque transfert &gt; 5 000 €.</w:t>
      </w:r>
    </w:p>
    <w:p>
      <w:pPr>
        <w:pStyle w:val="ListBullet"/>
      </w:pPr>
      <w:r>
        <w:t>Match nom + DDN + pays (algorithme floue Levenshtein).</w:t>
      </w:r>
    </w:p>
    <w:p>
      <w:pPr>
        <w:pStyle w:val="ListBullet"/>
      </w:pPr>
      <w:r>
        <w:t>Si match : transfert HOLD + investigation compliance.</w:t>
      </w:r>
    </w:p>
    <w:p>
      <w:pPr>
        <w:pStyle w:val="Heading1"/>
      </w:pPr>
      <w:r>
        <w:rPr>
          <w:color w:val="011645"/>
          <w:sz w:val="40"/>
        </w:rPr>
        <w:t>5. Surveillance des transactions</w:t>
      </w:r>
    </w:p>
    <w:p>
      <w:pPr>
        <w:pStyle w:val="ListBullet"/>
      </w:pPr>
      <w:r>
        <w:t>Système automatisé fraud_score à chaque transfert (0-100).</w:t>
      </w:r>
    </w:p>
    <w:p>
      <w:pPr>
        <w:pStyle w:val="ListBullet"/>
      </w:pPr>
      <w:r>
        <w:t>Règles : velocity, montants atypiques, géolocalisation suspecte, fractionnement.</w:t>
      </w:r>
    </w:p>
    <w:p>
      <w:pPr>
        <w:pStyle w:val="ListBullet"/>
      </w:pPr>
      <w:r>
        <w:t>Score &gt; 70 : HOLD + revue manuelle compliance.</w:t>
      </w:r>
    </w:p>
    <w:p>
      <w:pPr>
        <w:pStyle w:val="ListBullet"/>
      </w:pPr>
      <w:r>
        <w:t>Score &gt; 90 : blocage immédiat + alerte.</w:t>
      </w:r>
    </w:p>
    <w:p>
      <w:pPr>
        <w:pStyle w:val="Heading1"/>
      </w:pPr>
      <w:r>
        <w:rPr>
          <w:color w:val="011645"/>
          <w:sz w:val="40"/>
        </w:rPr>
        <w:t>6. Gestion des alertes</w:t>
      </w:r>
    </w:p>
    <w:p>
      <w:pPr>
        <w:pStyle w:val="ListBullet"/>
      </w:pPr>
      <w:r>
        <w:t>Alertes générées 24/7 par le système anti-fraude.</w:t>
      </w:r>
    </w:p>
    <w:p>
      <w:pPr>
        <w:pStyle w:val="ListBullet"/>
      </w:pPr>
      <w:r>
        <w:t>Triage par compliance officer dans 4h ouvrées.</w:t>
      </w:r>
    </w:p>
    <w:p>
      <w:pPr>
        <w:pStyle w:val="ListBullet"/>
      </w:pPr>
      <w:r>
        <w:t>Décision : libérer / bloquer / déclarer TRACFIN.</w:t>
      </w:r>
    </w:p>
    <w:p>
      <w:pPr>
        <w:pStyle w:val="Heading1"/>
      </w:pPr>
      <w:r>
        <w:rPr>
          <w:color w:val="011645"/>
          <w:sz w:val="40"/>
        </w:rPr>
        <w:t>7. Déclaration d'opérations suspectes</w:t>
      </w:r>
    </w:p>
    <w:p>
      <w:pPr>
        <w:pStyle w:val="ListBullet"/>
      </w:pPr>
      <w:r>
        <w:t>Déclaration TRACFIN sous 24h après décision (France).</w:t>
      </w:r>
    </w:p>
    <w:p>
      <w:pPr>
        <w:pStyle w:val="ListBullet"/>
      </w:pPr>
      <w:r>
        <w:t>Préservation totale des éléments : transcripts, KYC, IP, devices.</w:t>
      </w:r>
    </w:p>
    <w:p>
      <w:pPr>
        <w:pStyle w:val="ListBullet"/>
      </w:pPr>
      <w:r>
        <w:t>Confidentialité absolue (tipping-off interdit).</w:t>
      </w:r>
    </w:p>
    <w:p>
      <w:pPr>
        <w:pStyle w:val="Heading1"/>
      </w:pPr>
      <w:r>
        <w:rPr>
          <w:color w:val="011645"/>
          <w:sz w:val="40"/>
        </w:rPr>
        <w:t>8. Conservation documentaire</w:t>
      </w:r>
    </w:p>
    <w:p>
      <w:pPr>
        <w:pStyle w:val="ListBullet"/>
      </w:pPr>
      <w:r>
        <w:t>Tous les KYC docs : 5 ans après clôture compte.</w:t>
      </w:r>
    </w:p>
    <w:p>
      <w:pPr>
        <w:pStyle w:val="ListBullet"/>
      </w:pPr>
      <w:r>
        <w:t>Logs de transactions : 5 ans.</w:t>
      </w:r>
    </w:p>
    <w:p>
      <w:pPr>
        <w:pStyle w:val="ListBullet"/>
      </w:pPr>
      <w:r>
        <w:t>Communications support : 5 ans.</w:t>
      </w:r>
    </w:p>
    <w:p>
      <w:pPr>
        <w:pStyle w:val="ListBullet"/>
      </w:pPr>
      <w:r>
        <w:t>Audit logs : 5 ans.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