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22A6B"/>
          <w:sz w:val="40"/>
        </w:rPr>
        <w:t xml:space="preserve">SENDFLOO </w:t>
      </w:r>
      <w:r>
        <w:rPr>
          <w:color w:val="6E769A"/>
          <w:sz w:val="26"/>
        </w:rPr>
        <w:t>· documentation projet</w:t>
      </w:r>
    </w:p>
    <w:p/>
    <w:p/>
    <w:p/>
    <w:p/>
    <w:p/>
    <w:p/>
    <w:p>
      <w:pPr>
        <w:jc w:val="left"/>
      </w:pPr>
      <w:r>
        <w:rPr>
          <w:b/>
          <w:color w:val="011645"/>
          <w:sz w:val="72"/>
        </w:rPr>
        <w:t>Procédure fraude et gestion d'alertes</w:t>
      </w:r>
    </w:p>
    <w:p>
      <w:pPr>
        <w:jc w:val="left"/>
      </w:pPr>
      <w:r>
        <w:rPr>
          <w:color w:val="363F5C"/>
          <w:sz w:val="32"/>
        </w:rPr>
        <w:t>SendFloo — Réponse structurée aux suspicions de fraude</w:t>
      </w:r>
    </w:p>
    <w:p/>
    <w:p/>
    <w:p/>
    <w:p/>
    <w:p/>
    <w:p/>
    <w:p/>
    <w:p/>
    <w:p/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  <w:color w:val="022A6B"/>
                <w:sz w:val="22"/>
              </w:rPr>
              <w:t>Code document</w:t>
            </w:r>
          </w:p>
        </w:tc>
        <w:tc>
          <w:tcPr>
            <w:tcW w:type="dxa" w:w="4873"/>
          </w:tcPr>
          <w:p>
            <w:r>
              <w:t>SF-COM-FRD-003</w:t>
            </w:r>
          </w:p>
        </w:tc>
      </w:tr>
      <w:tr>
        <w:tc>
          <w:tcPr>
            <w:tcW w:type="dxa" w:w="4873"/>
          </w:tcPr>
          <w:p>
            <w:r>
              <w:rPr>
                <w:b/>
                <w:color w:val="022A6B"/>
                <w:sz w:val="22"/>
              </w:rPr>
              <w:t>Version</w:t>
            </w:r>
          </w:p>
        </w:tc>
        <w:tc>
          <w:tcPr>
            <w:tcW w:type="dxa" w:w="4873"/>
          </w:tcPr>
          <w:p>
            <w:r>
              <w:t>1.0</w:t>
            </w:r>
          </w:p>
        </w:tc>
      </w:tr>
      <w:tr>
        <w:tc>
          <w:tcPr>
            <w:tcW w:type="dxa" w:w="4873"/>
          </w:tcPr>
          <w:p>
            <w:r>
              <w:rPr>
                <w:b/>
                <w:color w:val="022A6B"/>
                <w:sz w:val="22"/>
              </w:rPr>
              <w:t>Date d'édition</w:t>
            </w:r>
          </w:p>
        </w:tc>
        <w:tc>
          <w:tcPr>
            <w:tcW w:type="dxa" w:w="4873"/>
          </w:tcPr>
          <w:p>
            <w:r>
              <w:t>03/06/2026</w:t>
            </w:r>
          </w:p>
        </w:tc>
      </w:tr>
      <w:tr>
        <w:tc>
          <w:tcPr>
            <w:tcW w:type="dxa" w:w="4873"/>
          </w:tcPr>
          <w:p>
            <w:r>
              <w:rPr>
                <w:b/>
                <w:color w:val="022A6B"/>
                <w:sz w:val="22"/>
              </w:rPr>
              <w:t>Auteur(s)</w:t>
            </w:r>
          </w:p>
        </w:tc>
        <w:tc>
          <w:tcPr>
            <w:tcW w:type="dxa" w:w="4873"/>
          </w:tcPr>
          <w:p>
            <w:r>
              <w:t>Direction Produit SendFloo</w:t>
            </w:r>
          </w:p>
        </w:tc>
      </w:tr>
      <w:tr>
        <w:tc>
          <w:tcPr>
            <w:tcW w:type="dxa" w:w="4873"/>
          </w:tcPr>
          <w:p>
            <w:r>
              <w:rPr>
                <w:b/>
                <w:color w:val="022A6B"/>
                <w:sz w:val="22"/>
              </w:rPr>
              <w:t>Destinataires</w:t>
            </w:r>
          </w:p>
        </w:tc>
        <w:tc>
          <w:tcPr>
            <w:tcW w:type="dxa" w:w="4873"/>
          </w:tcPr>
          <w:p>
            <w:r>
              <w:t>Comité de Pilotage, Équipes Technique &amp; Métier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color w:val="011645"/>
        </w:rPr>
        <w:t>Sommaire</w:t>
      </w:r>
    </w:p>
    <w:p>
      <w:r>
        <w:rPr>
          <w:b/>
          <w:color w:val="011645"/>
          <w:sz w:val="22"/>
        </w:rPr>
        <w:t>1. Typologies de fraude</w:t>
      </w:r>
    </w:p>
    <w:p>
      <w:r>
        <w:rPr>
          <w:b/>
          <w:color w:val="011645"/>
          <w:sz w:val="22"/>
        </w:rPr>
        <w:t>2. Indicateurs d'alerte</w:t>
      </w:r>
    </w:p>
    <w:p>
      <w:r>
        <w:rPr>
          <w:b/>
          <w:color w:val="011645"/>
          <w:sz w:val="22"/>
        </w:rPr>
        <w:t>3. Cas de blocage</w:t>
      </w:r>
    </w:p>
    <w:p>
      <w:r>
        <w:rPr>
          <w:b/>
          <w:color w:val="011645"/>
          <w:sz w:val="22"/>
        </w:rPr>
        <w:t>4. Workflow d'investigation</w:t>
      </w:r>
    </w:p>
    <w:p>
      <w:r>
        <w:rPr>
          <w:b/>
          <w:color w:val="011645"/>
          <w:sz w:val="22"/>
        </w:rPr>
        <w:t>5. Niveaux d'escalade</w:t>
      </w:r>
    </w:p>
    <w:p>
      <w:r>
        <w:rPr>
          <w:b/>
          <w:color w:val="011645"/>
          <w:sz w:val="22"/>
        </w:rPr>
        <w:t>6. Preuves à collecter</w:t>
      </w:r>
    </w:p>
    <w:p>
      <w:r>
        <w:rPr>
          <w:b/>
          <w:color w:val="011645"/>
          <w:sz w:val="22"/>
        </w:rPr>
        <w:t>7. Actions correctives</w:t>
      </w:r>
    </w:p>
    <w:p>
      <w:r>
        <w:br w:type="page"/>
      </w:r>
    </w:p>
    <w:p>
      <w:pPr>
        <w:pStyle w:val="Heading1"/>
      </w:pPr>
      <w:r>
        <w:rPr>
          <w:color w:val="011645"/>
          <w:sz w:val="40"/>
        </w:rPr>
        <w:t>1. Typologies de fraude</w:t>
      </w:r>
    </w:p>
    <w:p>
      <w:pPr>
        <w:pStyle w:val="ListBullet"/>
      </w:pPr>
      <w:r>
        <w:t>Identity theft : usurpation lors signup ou KYC upgrade.</w:t>
      </w:r>
    </w:p>
    <w:p>
      <w:pPr>
        <w:pStyle w:val="ListBullet"/>
      </w:pPr>
      <w:r>
        <w:t>Account takeover : prise contrôle compte légitime.</w:t>
      </w:r>
    </w:p>
    <w:p>
      <w:pPr>
        <w:pStyle w:val="ListBullet"/>
      </w:pPr>
      <w:r>
        <w:t>Card fraud : usage carte volée pour recharge.</w:t>
      </w:r>
    </w:p>
    <w:p>
      <w:pPr>
        <w:pStyle w:val="ListBullet"/>
      </w:pPr>
      <w:r>
        <w:t>Collusion : agent + client complices pour blanchiment.</w:t>
      </w:r>
    </w:p>
    <w:p>
      <w:pPr>
        <w:pStyle w:val="ListBullet"/>
      </w:pPr>
      <w:r>
        <w:t>Smurfing : fractionnement pour éviter seuils.</w:t>
      </w:r>
    </w:p>
    <w:p>
      <w:pPr>
        <w:pStyle w:val="ListBullet"/>
      </w:pPr>
      <w:r>
        <w:t>Phishing : usurpation visuelle de l'app/site.</w:t>
      </w:r>
    </w:p>
    <w:p>
      <w:pPr>
        <w:pStyle w:val="Heading1"/>
      </w:pPr>
      <w:r>
        <w:rPr>
          <w:color w:val="011645"/>
          <w:sz w:val="40"/>
        </w:rPr>
        <w:t>2. Indicateurs d'alerte</w:t>
      </w:r>
    </w:p>
    <w:p>
      <w:pPr>
        <w:pStyle w:val="ListBullet"/>
      </w:pPr>
      <w:r>
        <w:t>Géolocalisation inhabituelle (signup FR puis login NG dans heure).</w:t>
      </w:r>
    </w:p>
    <w:p>
      <w:pPr>
        <w:pStyle w:val="ListBullet"/>
      </w:pPr>
      <w:r>
        <w:t>Velocity : &gt; 5 transferts/heure.</w:t>
      </w:r>
    </w:p>
    <w:p>
      <w:pPr>
        <w:pStyle w:val="ListBullet"/>
      </w:pPr>
      <w:r>
        <w:t>Patterns fractionnés (10 × 450 € = 4 500 € pour éviter Tier 2 plafond).</w:t>
      </w:r>
    </w:p>
    <w:p>
      <w:pPr>
        <w:pStyle w:val="ListBullet"/>
      </w:pPr>
      <w:r>
        <w:t>Recharges multiples avec cartes différentes.</w:t>
      </w:r>
    </w:p>
    <w:p>
      <w:pPr>
        <w:pStyle w:val="ListBullet"/>
      </w:pPr>
      <w:r>
        <w:t>Nombreux échecs paiement consécutifs.</w:t>
      </w:r>
    </w:p>
    <w:p>
      <w:pPr>
        <w:pStyle w:val="ListBullet"/>
      </w:pPr>
      <w:r>
        <w:t>Création compte + transfert max immédiat.</w:t>
      </w:r>
    </w:p>
    <w:p>
      <w:pPr>
        <w:pStyle w:val="Heading1"/>
      </w:pPr>
      <w:r>
        <w:rPr>
          <w:color w:val="011645"/>
          <w:sz w:val="40"/>
        </w:rPr>
        <w:t>3. Cas de blocage</w:t>
      </w:r>
    </w:p>
    <w:p>
      <w:pPr>
        <w:pStyle w:val="ListBullet"/>
      </w:pPr>
      <w:r>
        <w:t>fraud_score &gt; 90 : blocage transfert automatique.</w:t>
      </w:r>
    </w:p>
    <w:p>
      <w:pPr>
        <w:pStyle w:val="ListBullet"/>
      </w:pPr>
      <w:r>
        <w:t>Match sanctions list : blocage compte + alerte compliance.</w:t>
      </w:r>
    </w:p>
    <w:p>
      <w:pPr>
        <w:pStyle w:val="ListBullet"/>
      </w:pPr>
      <w:r>
        <w:t>Signalement utilisateur (button 'Signaler une fraude') : revue 4h.</w:t>
      </w:r>
    </w:p>
    <w:p>
      <w:pPr>
        <w:pStyle w:val="ListBullet"/>
      </w:pPr>
      <w:r>
        <w:t>Webhook Stripe Radar : block ou hold selon recommandation.</w:t>
      </w:r>
    </w:p>
    <w:p>
      <w:pPr>
        <w:pStyle w:val="Heading1"/>
      </w:pPr>
      <w:r>
        <w:rPr>
          <w:color w:val="011645"/>
          <w:sz w:val="40"/>
        </w:rPr>
        <w:t>4. Workflow d'investigation</w:t>
      </w:r>
    </w:p>
    <w:p>
      <w:pPr>
        <w:pStyle w:val="ListBullet"/>
      </w:pPr>
      <w:r>
        <w:t>1. Triage compliance (4h ouvrées max).</w:t>
      </w:r>
    </w:p>
    <w:p>
      <w:pPr>
        <w:pStyle w:val="ListBullet"/>
      </w:pPr>
      <w:r>
        <w:t>2. Collecte éléments : KYC, IP, device, transactions, comms.</w:t>
      </w:r>
    </w:p>
    <w:p>
      <w:pPr>
        <w:pStyle w:val="ListBullet"/>
      </w:pPr>
      <w:r>
        <w:t>3. Analyse patterns + cross-check listes.</w:t>
      </w:r>
    </w:p>
    <w:p>
      <w:pPr>
        <w:pStyle w:val="ListBullet"/>
      </w:pPr>
      <w:r>
        <w:t>4. Décision : libérer / suspendre / déclarer.</w:t>
      </w:r>
    </w:p>
    <w:p>
      <w:pPr>
        <w:pStyle w:val="ListBullet"/>
      </w:pPr>
      <w:r>
        <w:t>5. Communication utilisateur (motivée si défavorable).</w:t>
      </w:r>
    </w:p>
    <w:p>
      <w:pPr>
        <w:pStyle w:val="ListBullet"/>
      </w:pPr>
      <w:r>
        <w:t>6. Audit log + post-mortem si pattern nouveau.</w:t>
      </w:r>
    </w:p>
    <w:p>
      <w:pPr>
        <w:pStyle w:val="Heading1"/>
      </w:pPr>
      <w:r>
        <w:rPr>
          <w:color w:val="011645"/>
          <w:sz w:val="40"/>
        </w:rPr>
        <w:t>5. Niveaux d'escalade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022A6B"/>
          </w:tcPr>
          <w:p>
            <w:r>
              <w:rPr>
                <w:b/>
                <w:color w:val="FFFFFF"/>
                <w:sz w:val="20"/>
              </w:rPr>
              <w:t>Niveau</w:t>
            </w:r>
          </w:p>
        </w:tc>
        <w:tc>
          <w:tcPr>
            <w:tcW w:type="dxa" w:w="3249"/>
            <w:shd w:val="clear" w:color="auto" w:fill="022A6B"/>
          </w:tcPr>
          <w:p>
            <w:r>
              <w:rPr>
                <w:b/>
                <w:color w:val="FFFFFF"/>
                <w:sz w:val="20"/>
              </w:rPr>
              <w:t>Trigger</w:t>
            </w:r>
          </w:p>
        </w:tc>
        <w:tc>
          <w:tcPr>
            <w:tcW w:type="dxa" w:w="3249"/>
            <w:shd w:val="clear" w:color="auto" w:fill="022A6B"/>
          </w:tcPr>
          <w:p>
            <w:r>
              <w:rPr>
                <w:b/>
                <w:color w:val="FFFFFF"/>
                <w:sz w:val="20"/>
              </w:rPr>
              <w:t>Owner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L1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Score 70-90 simple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Compliance officer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L2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Score &gt; 90 ou pattern complexe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Head of Compliance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L3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Suspicion blanchiment terro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Head of Compliance + Direction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L4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Incident média / régulateur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CEO + cellule crise</w:t>
            </w:r>
          </w:p>
        </w:tc>
      </w:tr>
    </w:tbl>
    <w:p>
      <w:pPr>
        <w:pStyle w:val="Heading1"/>
      </w:pPr>
      <w:r>
        <w:rPr>
          <w:color w:val="011645"/>
          <w:sz w:val="40"/>
        </w:rPr>
        <w:t>6. Preuves à collecter</w:t>
      </w:r>
    </w:p>
    <w:p>
      <w:pPr>
        <w:pStyle w:val="ListBullet"/>
      </w:pPr>
      <w:r>
        <w:t>Captures écran transactions + statuts.</w:t>
      </w:r>
    </w:p>
    <w:p>
      <w:pPr>
        <w:pStyle w:val="ListBullet"/>
      </w:pPr>
      <w:r>
        <w:t>Logs IP + device + timestamps.</w:t>
      </w:r>
    </w:p>
    <w:p>
      <w:pPr>
        <w:pStyle w:val="ListBullet"/>
      </w:pPr>
      <w:r>
        <w:t>Documents KYC fournis.</w:t>
      </w:r>
    </w:p>
    <w:p>
      <w:pPr>
        <w:pStyle w:val="ListBullet"/>
      </w:pPr>
      <w:r>
        <w:t>Communications avec support / agent.</w:t>
      </w:r>
    </w:p>
    <w:p>
      <w:pPr>
        <w:pStyle w:val="ListBullet"/>
      </w:pPr>
      <w:r>
        <w:t>Tout document tiers utile (relevés bancaires, etc.).</w:t>
      </w:r>
    </w:p>
    <w:p>
      <w:pPr>
        <w:pStyle w:val="Heading1"/>
      </w:pPr>
      <w:r>
        <w:rPr>
          <w:color w:val="011645"/>
          <w:sz w:val="40"/>
        </w:rPr>
        <w:t>7. Actions correctives</w:t>
      </w:r>
    </w:p>
    <w:p>
      <w:pPr>
        <w:pStyle w:val="ListBullet"/>
      </w:pPr>
      <w:r>
        <w:t>Compte légitime : déblocage + excuses + geste commercial.</w:t>
      </w:r>
    </w:p>
    <w:p>
      <w:pPr>
        <w:pStyle w:val="ListBullet"/>
      </w:pPr>
      <w:r>
        <w:t>Fraude avérée : blocage permanent + déclaration TRACFIN.</w:t>
      </w:r>
    </w:p>
    <w:p>
      <w:pPr>
        <w:pStyle w:val="ListBullet"/>
      </w:pPr>
      <w:r>
        <w:t>Pattern nouveau détecté : mise à jour règles scoring + sensibilisation équipe.</w:t>
      </w:r>
    </w:p>
    <w:p>
      <w:pPr>
        <w:pStyle w:val="ListBullet"/>
      </w:pPr>
      <w:r>
        <w:t>Refund agent si victime collusion (50 % à 100 % selon culpabilité).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