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Politique de protection des données</w:t>
      </w:r>
    </w:p>
    <w:p>
      <w:pPr>
        <w:jc w:val="left"/>
      </w:pPr>
      <w:r>
        <w:rPr>
          <w:color w:val="363F5C"/>
          <w:sz w:val="32"/>
        </w:rPr>
        <w:t>SendFloo — RGPD et protection vie privée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SF-COM-DAT-005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Catégories de données personnelles</w:t>
      </w:r>
    </w:p>
    <w:p>
      <w:r>
        <w:rPr>
          <w:b/>
          <w:color w:val="011645"/>
          <w:sz w:val="22"/>
        </w:rPr>
        <w:t>2. Finalités</w:t>
      </w:r>
    </w:p>
    <w:p>
      <w:r>
        <w:rPr>
          <w:b/>
          <w:color w:val="011645"/>
          <w:sz w:val="22"/>
        </w:rPr>
        <w:t>3. Durée de conservation</w:t>
      </w:r>
    </w:p>
    <w:p>
      <w:r>
        <w:rPr>
          <w:b/>
          <w:color w:val="011645"/>
          <w:sz w:val="22"/>
        </w:rPr>
        <w:t>4. Accès aux données</w:t>
      </w:r>
    </w:p>
    <w:p>
      <w:r>
        <w:rPr>
          <w:b/>
          <w:color w:val="011645"/>
          <w:sz w:val="22"/>
        </w:rPr>
        <w:t>5. Partage avec tiers</w:t>
      </w:r>
    </w:p>
    <w:p>
      <w:r>
        <w:rPr>
          <w:b/>
          <w:color w:val="011645"/>
          <w:sz w:val="22"/>
        </w:rPr>
        <w:t>6. Droits des personnes</w:t>
      </w:r>
    </w:p>
    <w:p>
      <w:r>
        <w:rPr>
          <w:b/>
          <w:color w:val="011645"/>
          <w:sz w:val="22"/>
        </w:rPr>
        <w:t>7. Mesures de sécurité</w:t>
      </w:r>
    </w:p>
    <w:p>
      <w:r>
        <w:rPr>
          <w:b/>
          <w:color w:val="011645"/>
          <w:sz w:val="22"/>
        </w:rPr>
        <w:t>8. DPO et contact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Catégories de données personnelles</w:t>
      </w:r>
    </w:p>
    <w:p>
      <w:pPr>
        <w:pStyle w:val="ListBullet"/>
      </w:pPr>
      <w:r>
        <w:t>Identité : nom, prénom, DDN, nationalité.</w:t>
      </w:r>
    </w:p>
    <w:p>
      <w:pPr>
        <w:pStyle w:val="ListBullet"/>
      </w:pPr>
      <w:r>
        <w:t>Contact : email, téléphone, adresse postale.</w:t>
      </w:r>
    </w:p>
    <w:p>
      <w:pPr>
        <w:pStyle w:val="ListBullet"/>
      </w:pPr>
      <w:r>
        <w:t>Documents : pièce ID, justificatifs domicile.</w:t>
      </w:r>
    </w:p>
    <w:p>
      <w:pPr>
        <w:pStyle w:val="ListBullet"/>
      </w:pPr>
      <w:r>
        <w:t>Financières : IBAN, transactions, balances.</w:t>
      </w:r>
    </w:p>
    <w:p>
      <w:pPr>
        <w:pStyle w:val="ListBullet"/>
      </w:pPr>
      <w:r>
        <w:t>Techniques : IP, device, logs, géolocalisation.</w:t>
      </w:r>
    </w:p>
    <w:p>
      <w:pPr>
        <w:pStyle w:val="Heading1"/>
      </w:pPr>
      <w:r>
        <w:rPr>
          <w:color w:val="011645"/>
          <w:sz w:val="40"/>
        </w:rPr>
        <w:t>2. Finalités</w:t>
      </w:r>
    </w:p>
    <w:p>
      <w:pPr>
        <w:pStyle w:val="ListBullet"/>
      </w:pPr>
      <w:r>
        <w:t>Exécution du service (contractuel).</w:t>
      </w:r>
    </w:p>
    <w:p>
      <w:pPr>
        <w:pStyle w:val="ListBullet"/>
      </w:pPr>
      <w:r>
        <w:t>Respect des obligations légales (KYC, AML).</w:t>
      </w:r>
    </w:p>
    <w:p>
      <w:pPr>
        <w:pStyle w:val="ListBullet"/>
      </w:pPr>
      <w:r>
        <w:t>Lutte contre la fraude (intérêt légitime).</w:t>
      </w:r>
    </w:p>
    <w:p>
      <w:pPr>
        <w:pStyle w:val="ListBullet"/>
      </w:pPr>
      <w:r>
        <w:t>Communication marketing (consentement explicite, opt-in).</w:t>
      </w:r>
    </w:p>
    <w:p>
      <w:pPr>
        <w:pStyle w:val="Heading1"/>
      </w:pPr>
      <w:r>
        <w:rPr>
          <w:color w:val="011645"/>
          <w:sz w:val="40"/>
        </w:rPr>
        <w:t>3. Durée de conservation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Durée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Identité + transactions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 ans après clôture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KYC docs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 ans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Logs techniques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30 jours puis archivage 1 an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Cookies marketing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13 mois max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Tickets support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 ans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Accès aux données</w:t>
      </w:r>
    </w:p>
    <w:p>
      <w:pPr>
        <w:pStyle w:val="ListBullet"/>
      </w:pPr>
      <w:r>
        <w:t>Principe least-privilege : seules les personnes en charge ont accès.</w:t>
      </w:r>
    </w:p>
    <w:p>
      <w:pPr>
        <w:pStyle w:val="ListBullet"/>
      </w:pPr>
      <w:r>
        <w:t>Logs d'accès systématiques (audit log MongoDB).</w:t>
      </w:r>
    </w:p>
    <w:p>
      <w:pPr>
        <w:pStyle w:val="ListBullet"/>
      </w:pPr>
      <w:r>
        <w:t>Accès production : 3 personnes (CTO, lead SRE, lead Compliance).</w:t>
      </w:r>
    </w:p>
    <w:p>
      <w:pPr>
        <w:pStyle w:val="Heading1"/>
      </w:pPr>
      <w:r>
        <w:rPr>
          <w:color w:val="011645"/>
          <w:sz w:val="40"/>
        </w:rPr>
        <w:t>5. Partage avec tiers</w:t>
      </w:r>
    </w:p>
    <w:p>
      <w:pPr>
        <w:pStyle w:val="ListBullet"/>
      </w:pPr>
      <w:r>
        <w:t>Stripe, PayPal : pour exécution paiement (sous-traitants au sens RGPD).</w:t>
      </w:r>
    </w:p>
    <w:p>
      <w:pPr>
        <w:pStyle w:val="ListBullet"/>
      </w:pPr>
      <w:r>
        <w:t>Twilio, SendGrid : pour notifications (sous-traitants).</w:t>
      </w:r>
    </w:p>
    <w:p>
      <w:pPr>
        <w:pStyle w:val="ListBullet"/>
      </w:pPr>
      <w:r>
        <w:t>Partenaires Mobile Money : pour exécution remise (sous-traitants).</w:t>
      </w:r>
    </w:p>
    <w:p>
      <w:pPr>
        <w:pStyle w:val="ListBullet"/>
      </w:pPr>
      <w:r>
        <w:t>Régulateurs : sur demande légale.</w:t>
      </w:r>
    </w:p>
    <w:p>
      <w:pPr>
        <w:pStyle w:val="ListBullet"/>
      </w:pPr>
      <w:r>
        <w:t>Aucune vente / partage à des fins commerciales.</w:t>
      </w:r>
    </w:p>
    <w:p>
      <w:pPr>
        <w:pStyle w:val="Heading1"/>
      </w:pPr>
      <w:r>
        <w:rPr>
          <w:color w:val="011645"/>
          <w:sz w:val="40"/>
        </w:rPr>
        <w:t>6. Droits des personnes</w:t>
      </w:r>
    </w:p>
    <w:p>
      <w:pPr>
        <w:pStyle w:val="ListBullet"/>
      </w:pPr>
      <w:r>
        <w:t>Droit d'accès : sous 30 jours.</w:t>
      </w:r>
    </w:p>
    <w:p>
      <w:pPr>
        <w:pStyle w:val="ListBullet"/>
      </w:pPr>
      <w:r>
        <w:t>Droit de rectification : immédiat via app.</w:t>
      </w:r>
    </w:p>
    <w:p>
      <w:pPr>
        <w:pStyle w:val="ListBullet"/>
      </w:pPr>
      <w:r>
        <w:t>Droit à l'effacement : sous 30 jours (sauf obligations légales).</w:t>
      </w:r>
    </w:p>
    <w:p>
      <w:pPr>
        <w:pStyle w:val="ListBullet"/>
      </w:pPr>
      <w:r>
        <w:t>Droit à la portabilité : export JSON sur demande.</w:t>
      </w:r>
    </w:p>
    <w:p>
      <w:pPr>
        <w:pStyle w:val="ListBullet"/>
      </w:pPr>
      <w:r>
        <w:t>Droit d'opposition au profilage marketing : opt-out toujours dispo.</w:t>
      </w:r>
    </w:p>
    <w:p>
      <w:pPr>
        <w:pStyle w:val="Heading1"/>
      </w:pPr>
      <w:r>
        <w:rPr>
          <w:color w:val="011645"/>
          <w:sz w:val="40"/>
        </w:rPr>
        <w:t>7. Mesures de sécurité</w:t>
      </w:r>
    </w:p>
    <w:p>
      <w:pPr>
        <w:pStyle w:val="ListBullet"/>
      </w:pPr>
      <w:r>
        <w:t>Chiffrement en transit (TLS 1.3) et au repos (MongoDB encrypted-at-rest V2).</w:t>
      </w:r>
    </w:p>
    <w:p>
      <w:pPr>
        <w:pStyle w:val="ListBullet"/>
      </w:pPr>
      <w:r>
        <w:t>MFA pour accès admin.</w:t>
      </w:r>
    </w:p>
    <w:p>
      <w:pPr>
        <w:pStyle w:val="ListBullet"/>
      </w:pPr>
      <w:r>
        <w:t>Logs centralisés et conservés 1 an.</w:t>
      </w:r>
    </w:p>
    <w:p>
      <w:pPr>
        <w:pStyle w:val="ListBullet"/>
      </w:pPr>
      <w:r>
        <w:t>Audit annuel sécurité + pen-test.</w:t>
      </w:r>
    </w:p>
    <w:p>
      <w:pPr>
        <w:pStyle w:val="Heading1"/>
      </w:pPr>
      <w:r>
        <w:rPr>
          <w:color w:val="011645"/>
          <w:sz w:val="40"/>
        </w:rPr>
        <w:t>8. DPO et contact</w:t>
      </w:r>
    </w:p>
    <w:p>
      <w:pPr>
        <w:pStyle w:val="ListBullet"/>
      </w:pPr>
      <w:r>
        <w:t>DPO externe désigné (cabinet à mandater).</w:t>
      </w:r>
    </w:p>
    <w:p>
      <w:pPr>
        <w:pStyle w:val="ListBullet"/>
      </w:pPr>
      <w:r>
        <w:t>Contact : dpo@sendbid.app.</w:t>
      </w:r>
    </w:p>
    <w:p>
      <w:pPr>
        <w:pStyle w:val="ListBullet"/>
      </w:pPr>
      <w:r>
        <w:t>Registre des traitements RGPD à jour, consultable sur demande à la CNIL.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