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Politique de commissionnement</w:t>
      </w:r>
    </w:p>
    <w:p>
      <w:pPr>
        <w:jc w:val="left"/>
      </w:pPr>
      <w:r>
        <w:rPr>
          <w:color w:val="363F5C"/>
          <w:sz w:val="32"/>
        </w:rPr>
        <w:t>SendFloo — Rémunération agents et super-agents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SF-FIN-COM-003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Mode de calcul</w:t>
      </w:r>
    </w:p>
    <w:p>
      <w:r>
        <w:rPr>
          <w:b/>
          <w:color w:val="011645"/>
          <w:sz w:val="22"/>
        </w:rPr>
        <w:t>2. Conditions d'éligibilité</w:t>
      </w:r>
    </w:p>
    <w:p>
      <w:r>
        <w:rPr>
          <w:b/>
          <w:color w:val="011645"/>
          <w:sz w:val="22"/>
        </w:rPr>
        <w:t>3. Périodicité</w:t>
      </w:r>
    </w:p>
    <w:p>
      <w:r>
        <w:rPr>
          <w:b/>
          <w:color w:val="011645"/>
          <w:sz w:val="22"/>
        </w:rPr>
        <w:t>4. Retenues éventuelles</w:t>
      </w:r>
    </w:p>
    <w:p>
      <w:r>
        <w:rPr>
          <w:b/>
          <w:color w:val="011645"/>
          <w:sz w:val="22"/>
        </w:rPr>
        <w:t>5. Cas de litige</w:t>
      </w:r>
    </w:p>
    <w:p>
      <w:r>
        <w:rPr>
          <w:b/>
          <w:color w:val="011645"/>
          <w:sz w:val="22"/>
        </w:rPr>
        <w:t>6. Validation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Mode de calcul</w:t>
      </w:r>
    </w:p>
    <w:p>
      <w:pPr>
        <w:pStyle w:val="ListBullet"/>
      </w:pPr>
      <w:r>
        <w:t>Commission agent = bid_taux × montant transfert (taux issu de l'enchère gagnée).</w:t>
      </w:r>
    </w:p>
    <w:p>
      <w:pPr>
        <w:pStyle w:val="ListBullet"/>
      </w:pPr>
      <w:r>
        <w:t>Override super-agent = 10 % du volume des agents enfants (paramétrable).</w:t>
      </w:r>
    </w:p>
    <w:p>
      <w:pPr>
        <w:pStyle w:val="ListBullet"/>
      </w:pPr>
      <w:r>
        <w:t>Aucune retenue plate-forme sur la commission agent.</w:t>
      </w:r>
    </w:p>
    <w:p>
      <w:pPr>
        <w:pStyle w:val="ListBullet"/>
      </w:pPr>
      <w:r>
        <w:t>Paiement net (TVA appliquée si applicable selon statut fiscal agent).</w:t>
      </w:r>
    </w:p>
    <w:p>
      <w:pPr>
        <w:pStyle w:val="Heading1"/>
      </w:pPr>
      <w:r>
        <w:rPr>
          <w:color w:val="011645"/>
          <w:sz w:val="40"/>
        </w:rPr>
        <w:t>2. Conditions d'éligibilité</w:t>
      </w:r>
    </w:p>
    <w:p>
      <w:pPr>
        <w:pStyle w:val="ListBullet"/>
      </w:pPr>
      <w:r>
        <w:t>Agent : status=approved + KYC pro Tier 2+ + au moins 1 transfert COMPLETED.</w:t>
      </w:r>
    </w:p>
    <w:p>
      <w:pPr>
        <w:pStyle w:val="ListBullet"/>
      </w:pPr>
      <w:r>
        <w:t>Super-agent : status=approved + au moins 3 agents enfants actifs.</w:t>
      </w:r>
    </w:p>
    <w:p>
      <w:pPr>
        <w:pStyle w:val="ListBullet"/>
      </w:pPr>
      <w:r>
        <w:t>Programme fidélité : Silver (par défaut), Gold (50+ transferts + note ≥ 4,5), Platinum (200+ + note ≥ 4,7).</w:t>
      </w:r>
    </w:p>
    <w:p>
      <w:pPr>
        <w:pStyle w:val="Heading1"/>
      </w:pPr>
      <w:r>
        <w:rPr>
          <w:color w:val="011645"/>
          <w:sz w:val="40"/>
        </w:rPr>
        <w:t>3. Périodicité</w:t>
      </w:r>
    </w:p>
    <w:p>
      <w:pPr>
        <w:pStyle w:val="ListBullet"/>
      </w:pPr>
      <w:r>
        <w:t>Agent : settlement à la demande (hebdo ou bi-mensuel), minimum 50 € accumulés.</w:t>
      </w:r>
    </w:p>
    <w:p>
      <w:pPr>
        <w:pStyle w:val="ListBullet"/>
      </w:pPr>
      <w:r>
        <w:t>Super-agent : versement mensuel J+5 (override calculé sur le mois précédent).</w:t>
      </w:r>
    </w:p>
    <w:p>
      <w:pPr>
        <w:pStyle w:val="Heading1"/>
      </w:pPr>
      <w:r>
        <w:rPr>
          <w:color w:val="011645"/>
          <w:sz w:val="40"/>
        </w:rPr>
        <w:t>4. Retenues éventuelles</w:t>
      </w:r>
    </w:p>
    <w:p>
      <w:pPr>
        <w:pStyle w:val="ListBullet"/>
      </w:pPr>
      <w:r>
        <w:t>TVA si agent assujetti (à déclarer dans son profil).</w:t>
      </w:r>
    </w:p>
    <w:p>
      <w:pPr>
        <w:pStyle w:val="ListBullet"/>
      </w:pPr>
      <w:r>
        <w:t>Retenue sur litige en cours : montant gelé jusqu'à arbitrage.</w:t>
      </w:r>
    </w:p>
    <w:p>
      <w:pPr>
        <w:pStyle w:val="ListBullet"/>
      </w:pPr>
      <w:r>
        <w:t>Retenue pour pénalité (manquement SOP grave) : sur décision compliance, max 30 %.</w:t>
      </w:r>
    </w:p>
    <w:p>
      <w:pPr>
        <w:pStyle w:val="Heading1"/>
      </w:pPr>
      <w:r>
        <w:rPr>
          <w:color w:val="011645"/>
          <w:sz w:val="40"/>
        </w:rPr>
        <w:t>5. Cas de litige</w:t>
      </w:r>
    </w:p>
    <w:p>
      <w:pPr>
        <w:pStyle w:val="ListBullet"/>
      </w:pPr>
      <w:r>
        <w:t>L'agent peut contester un calcul de commission dans les 30 jours.</w:t>
      </w:r>
    </w:p>
    <w:p>
      <w:pPr>
        <w:pStyle w:val="ListBullet"/>
      </w:pPr>
      <w:r>
        <w:t>Investigation par finance + compliance sous 7 jours ouvrés.</w:t>
      </w:r>
    </w:p>
    <w:p>
      <w:pPr>
        <w:pStyle w:val="ListBullet"/>
      </w:pPr>
      <w:r>
        <w:t>Décision finale par Head of Finance.</w:t>
      </w:r>
    </w:p>
    <w:p>
      <w:pPr>
        <w:pStyle w:val="ListBullet"/>
      </w:pPr>
      <w:r>
        <w:t>Si bonne foi établie : régularisation immédiate + geste commercial.</w:t>
      </w:r>
    </w:p>
    <w:p>
      <w:pPr>
        <w:pStyle w:val="Heading1"/>
      </w:pPr>
      <w:r>
        <w:rPr>
          <w:color w:val="011645"/>
          <w:sz w:val="40"/>
        </w:rPr>
        <w:t>6. Validation</w:t>
      </w:r>
    </w:p>
    <w:p>
      <w:pPr>
        <w:pStyle w:val="ListBullet"/>
      </w:pPr>
      <w:r>
        <w:t>Calcul automatique via service backend (run quotidien).</w:t>
      </w:r>
    </w:p>
    <w:p>
      <w:pPr>
        <w:pStyle w:val="ListBullet"/>
      </w:pPr>
      <w:r>
        <w:t>Validation finance hebdo (échantillonnage).</w:t>
      </w:r>
    </w:p>
    <w:p>
      <w:pPr>
        <w:pStyle w:val="ListBullet"/>
      </w:pPr>
      <w:r>
        <w:t>Audit annuel obligatoire.</w:t>
      </w:r>
    </w:p>
    <w:p>
      <w:pPr>
        <w:pStyle w:val="ListBullet"/>
      </w:pPr>
      <w:r>
        <w:t>Communication mensuelle aux agents (récap commissions + override).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