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Procédure de rapprochement / réconciliation</w:t>
      </w:r>
    </w:p>
    <w:p>
      <w:pPr>
        <w:jc w:val="left"/>
      </w:pPr>
      <w:r>
        <w:rPr>
          <w:color w:val="363F5C"/>
          <w:sz w:val="32"/>
        </w:rPr>
        <w:t>SendFloo — Contrôle des flux financiers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SF-FIN-REC-002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Rapprochement transactions / encaissements / paiements / commissions</w:t>
      </w:r>
    </w:p>
    <w:p>
      <w:r>
        <w:rPr>
          <w:b/>
          <w:color w:val="011645"/>
          <w:sz w:val="22"/>
        </w:rPr>
        <w:t>2. Fréquence</w:t>
      </w:r>
    </w:p>
    <w:p>
      <w:r>
        <w:rPr>
          <w:b/>
          <w:color w:val="011645"/>
          <w:sz w:val="22"/>
        </w:rPr>
        <w:t>3. Sources de données</w:t>
      </w:r>
    </w:p>
    <w:p>
      <w:r>
        <w:rPr>
          <w:b/>
          <w:color w:val="011645"/>
          <w:sz w:val="22"/>
        </w:rPr>
        <w:t>4. Gestion des écarts</w:t>
      </w:r>
    </w:p>
    <w:p>
      <w:r>
        <w:rPr>
          <w:b/>
          <w:color w:val="011645"/>
          <w:sz w:val="22"/>
        </w:rPr>
        <w:t>5. Responsabilités</w:t>
      </w:r>
    </w:p>
    <w:p>
      <w:r>
        <w:rPr>
          <w:b/>
          <w:color w:val="011645"/>
          <w:sz w:val="22"/>
        </w:rPr>
        <w:t>6. Délais de correction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Rapprochement transactions / encaissements / paiements / commissions</w:t>
      </w:r>
    </w:p>
    <w:p>
      <w:pPr>
        <w:pStyle w:val="ListBullet"/>
      </w:pPr>
      <w:r>
        <w:t>Vérification quotidienne : somme des recharges wallet = somme des entrées bancaires plate-forme.</w:t>
      </w:r>
    </w:p>
    <w:p>
      <w:pPr>
        <w:pStyle w:val="ListBullet"/>
      </w:pPr>
      <w:r>
        <w:t>Vérification quotidienne : somme des transferts COMPLETED = somme des sorties wallets - commissions.</w:t>
      </w:r>
    </w:p>
    <w:p>
      <w:pPr>
        <w:pStyle w:val="ListBullet"/>
      </w:pPr>
      <w:r>
        <w:t>Vérification quotidienne : commissions dues agents = balance des comptes agents.</w:t>
      </w:r>
    </w:p>
    <w:p>
      <w:pPr>
        <w:pStyle w:val="ListBullet"/>
      </w:pPr>
      <w:r>
        <w:t>Vérification hebdomadaire : frais SendFloo (CA 706000) = revenus comptabilisés sur la période.</w:t>
      </w:r>
    </w:p>
    <w:p>
      <w:pPr>
        <w:pStyle w:val="Heading1"/>
      </w:pPr>
      <w:r>
        <w:rPr>
          <w:color w:val="011645"/>
          <w:sz w:val="40"/>
        </w:rPr>
        <w:t>2. Fréquence</w:t>
      </w:r>
    </w:p>
    <w:p>
      <w:pPr>
        <w:pStyle w:val="ListBullet"/>
      </w:pPr>
      <w:r>
        <w:t>Quotidienne : cron 02h00 UTC + alerte si écart &gt; 5 €.</w:t>
      </w:r>
    </w:p>
    <w:p>
      <w:pPr>
        <w:pStyle w:val="ListBullet"/>
      </w:pPr>
      <w:r>
        <w:t>Hebdomadaire : revue manuelle finance.</w:t>
      </w:r>
    </w:p>
    <w:p>
      <w:pPr>
        <w:pStyle w:val="ListBullet"/>
      </w:pPr>
      <w:r>
        <w:t>Mensuelle : clôture comptable + reporting Board.</w:t>
      </w:r>
    </w:p>
    <w:p>
      <w:pPr>
        <w:pStyle w:val="ListBullet"/>
      </w:pPr>
      <w:r>
        <w:t>Annuelle : audit externe.</w:t>
      </w:r>
    </w:p>
    <w:p>
      <w:pPr>
        <w:pStyle w:val="Heading1"/>
      </w:pPr>
      <w:r>
        <w:rPr>
          <w:color w:val="011645"/>
          <w:sz w:val="40"/>
        </w:rPr>
        <w:t>3. Sources de données</w:t>
      </w:r>
    </w:p>
    <w:p>
      <w:pPr>
        <w:pStyle w:val="ListBullet"/>
      </w:pPr>
      <w:r>
        <w:t>MongoDB : wallets, wallet_transactions, transfers, agents.</w:t>
      </w:r>
    </w:p>
    <w:p>
      <w:pPr>
        <w:pStyle w:val="ListBullet"/>
      </w:pPr>
      <w:r>
        <w:t>Stripe Dashboard : charges, refunds, balances.</w:t>
      </w:r>
    </w:p>
    <w:p>
      <w:pPr>
        <w:pStyle w:val="ListBullet"/>
      </w:pPr>
      <w:r>
        <w:t>PayPal Dashboard : transactions.</w:t>
      </w:r>
    </w:p>
    <w:p>
      <w:pPr>
        <w:pStyle w:val="ListBullet"/>
      </w:pPr>
      <w:r>
        <w:t>Mobile Money APIs : reporting (CSV téléchargeable).</w:t>
      </w:r>
    </w:p>
    <w:p>
      <w:pPr>
        <w:pStyle w:val="ListBullet"/>
      </w:pPr>
      <w:r>
        <w:t>Banque plate-forme : relevés bancaires (CAMT.053).</w:t>
      </w:r>
    </w:p>
    <w:p>
      <w:pPr>
        <w:pStyle w:val="Heading1"/>
      </w:pPr>
      <w:r>
        <w:rPr>
          <w:color w:val="011645"/>
          <w:sz w:val="40"/>
        </w:rPr>
        <w:t>4. Gestion des écarts</w:t>
      </w:r>
    </w:p>
    <w:p>
      <w:pPr>
        <w:pStyle w:val="ListBullet"/>
      </w:pPr>
      <w:r>
        <w:t>Écart &lt; 1 € : ignoré (arrondis FX).</w:t>
      </w:r>
    </w:p>
    <w:p>
      <w:pPr>
        <w:pStyle w:val="ListBullet"/>
      </w:pPr>
      <w:r>
        <w:t>Écart 1-10 € : ticket pour investigation J+1.</w:t>
      </w:r>
    </w:p>
    <w:p>
      <w:pPr>
        <w:pStyle w:val="ListBullet"/>
      </w:pPr>
      <w:r>
        <w:t>Écart &gt; 10 € : alerte critique + escalade compliance.</w:t>
      </w:r>
    </w:p>
    <w:p>
      <w:pPr>
        <w:pStyle w:val="ListBullet"/>
      </w:pPr>
      <w:r>
        <w:t>Écart &gt; 100 € : escalade direction finance + audit log + post-mortem.</w:t>
      </w:r>
    </w:p>
    <w:p>
      <w:pPr>
        <w:pStyle w:val="Heading1"/>
      </w:pPr>
      <w:r>
        <w:rPr>
          <w:color w:val="011645"/>
          <w:sz w:val="40"/>
        </w:rPr>
        <w:t>5. Responsabilités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Mission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Système (cron)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Réconciliation quotidienne automatique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Finance Officer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Revue quotidienne des alertes + hebdo manuelle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Head Finance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Clôture mensuelle + reporting Board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Auditeur externe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Validation annuelle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6. Délais de correction</w:t>
      </w:r>
    </w:p>
    <w:p>
      <w:pPr>
        <w:pStyle w:val="ListBullet"/>
      </w:pPr>
      <w:r>
        <w:t>Écart 1-10 € : J+5 ouvrés.</w:t>
      </w:r>
    </w:p>
    <w:p>
      <w:pPr>
        <w:pStyle w:val="ListBullet"/>
      </w:pPr>
      <w:r>
        <w:t>Écart &gt; 10 € : J+2 ouvrés.</w:t>
      </w:r>
    </w:p>
    <w:p>
      <w:pPr>
        <w:pStyle w:val="ListBullet"/>
      </w:pPr>
      <w:r>
        <w:t>Écart &gt; 100 € : J+1 ouvré (priorité absolue).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