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22A6B"/>
          <w:sz w:val="40"/>
        </w:rPr>
        <w:t xml:space="preserve">SENDFLOO </w:t>
      </w:r>
      <w:r>
        <w:rPr>
          <w:color w:val="6E769A"/>
          <w:sz w:val="26"/>
        </w:rPr>
        <w:t>· documentation projet</w:t>
      </w:r>
    </w:p>
    <w:p/>
    <w:p/>
    <w:p/>
    <w:p/>
    <w:p/>
    <w:p/>
    <w:p>
      <w:pPr>
        <w:jc w:val="left"/>
      </w:pPr>
      <w:r>
        <w:rPr>
          <w:b/>
          <w:color w:val="011645"/>
          <w:sz w:val="72"/>
        </w:rPr>
        <w:t>Schéma comptable du service</w:t>
      </w:r>
    </w:p>
    <w:p>
      <w:pPr>
        <w:jc w:val="left"/>
      </w:pPr>
      <w:r>
        <w:rPr>
          <w:color w:val="363F5C"/>
          <w:sz w:val="32"/>
        </w:rPr>
        <w:t>SendFloo — Traduction comptable des flux financiers</w:t>
      </w:r>
    </w:p>
    <w:p/>
    <w:p/>
    <w:p/>
    <w:p/>
    <w:p/>
    <w:p/>
    <w:p/>
    <w:p/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color w:val="022A6B"/>
                <w:sz w:val="22"/>
              </w:rPr>
              <w:t>Code document</w:t>
            </w:r>
          </w:p>
        </w:tc>
        <w:tc>
          <w:tcPr>
            <w:tcW w:type="dxa" w:w="4873"/>
          </w:tcPr>
          <w:p>
            <w:r>
              <w:t>SF-FIN-COMP-001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color w:val="022A6B"/>
                <w:sz w:val="22"/>
              </w:rPr>
              <w:t>Version</w:t>
            </w:r>
          </w:p>
        </w:tc>
        <w:tc>
          <w:tcPr>
            <w:tcW w:type="dxa" w:w="4873"/>
          </w:tcPr>
          <w:p>
            <w:r>
              <w:t>1.0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color w:val="022A6B"/>
                <w:sz w:val="22"/>
              </w:rPr>
              <w:t>Date d'édition</w:t>
            </w:r>
          </w:p>
        </w:tc>
        <w:tc>
          <w:tcPr>
            <w:tcW w:type="dxa" w:w="4873"/>
          </w:tcPr>
          <w:p>
            <w:r>
              <w:t>03/06/2026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color w:val="022A6B"/>
                <w:sz w:val="22"/>
              </w:rPr>
              <w:t>Auteur(s)</w:t>
            </w:r>
          </w:p>
        </w:tc>
        <w:tc>
          <w:tcPr>
            <w:tcW w:type="dxa" w:w="4873"/>
          </w:tcPr>
          <w:p>
            <w:r>
              <w:t>Direction Produit SendFloo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color w:val="022A6B"/>
                <w:sz w:val="22"/>
              </w:rPr>
              <w:t>Destinataires</w:t>
            </w:r>
          </w:p>
        </w:tc>
        <w:tc>
          <w:tcPr>
            <w:tcW w:type="dxa" w:w="4873"/>
          </w:tcPr>
          <w:p>
            <w:r>
              <w:t>Comité de Pilotage, Équipes Technique &amp; Métier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011645"/>
        </w:rPr>
        <w:t>Sommaire</w:t>
      </w:r>
    </w:p>
    <w:p>
      <w:r>
        <w:rPr>
          <w:b/>
          <w:color w:val="011645"/>
          <w:sz w:val="22"/>
        </w:rPr>
        <w:t>1. Événements comptables</w:t>
      </w:r>
    </w:p>
    <w:p>
      <w:r>
        <w:rPr>
          <w:b/>
          <w:color w:val="011645"/>
          <w:sz w:val="22"/>
        </w:rPr>
        <w:t>2. Écritures par statut</w:t>
      </w:r>
    </w:p>
    <w:p>
      <w:r>
        <w:rPr>
          <w:b/>
          <w:color w:val="011645"/>
          <w:sz w:val="22"/>
        </w:rPr>
        <w:t>3. Comptes utilisés (plan comptable simplifié)</w:t>
      </w:r>
    </w:p>
    <w:p>
      <w:r>
        <w:rPr>
          <w:b/>
          <w:color w:val="011645"/>
          <w:sz w:val="22"/>
        </w:rPr>
        <w:t>4. Commissions</w:t>
      </w:r>
    </w:p>
    <w:p>
      <w:r>
        <w:rPr>
          <w:b/>
          <w:color w:val="011645"/>
          <w:sz w:val="22"/>
        </w:rPr>
        <w:t>5. Remboursements</w:t>
      </w:r>
    </w:p>
    <w:p>
      <w:r>
        <w:rPr>
          <w:b/>
          <w:color w:val="011645"/>
          <w:sz w:val="22"/>
        </w:rPr>
        <w:t>6. Suspens et écarts</w:t>
      </w:r>
    </w:p>
    <w:p>
      <w:r>
        <w:br w:type="page"/>
      </w:r>
    </w:p>
    <w:p>
      <w:pPr>
        <w:pStyle w:val="Heading1"/>
      </w:pPr>
      <w:r>
        <w:rPr>
          <w:color w:val="011645"/>
          <w:sz w:val="40"/>
        </w:rPr>
        <w:t>1. Événements comptables</w:t>
      </w:r>
    </w:p>
    <w:p>
      <w:pPr>
        <w:pStyle w:val="ListBullet"/>
      </w:pPr>
      <w:r>
        <w:t>Recharge wallet (entrée fonds plate-forme).</w:t>
      </w:r>
    </w:p>
    <w:p>
      <w:pPr>
        <w:pStyle w:val="ListBullet"/>
      </w:pPr>
      <w:r>
        <w:t>Démarrage transfert (réservation, statut BIDDING).</w:t>
      </w:r>
    </w:p>
    <w:p>
      <w:pPr>
        <w:pStyle w:val="ListBullet"/>
      </w:pPr>
      <w:r>
        <w:t>Sélection agent (validation, statut AGENT_ASSIGNED).</w:t>
      </w:r>
    </w:p>
    <w:p>
      <w:pPr>
        <w:pStyle w:val="ListBullet"/>
      </w:pPr>
      <w:r>
        <w:t>Remise au bénéficiaire (sortie fonds, statut COMPLETED).</w:t>
      </w:r>
    </w:p>
    <w:p>
      <w:pPr>
        <w:pStyle w:val="ListBullet"/>
      </w:pPr>
      <w:r>
        <w:t>Annulation (libération réservation + refund).</w:t>
      </w:r>
    </w:p>
    <w:p>
      <w:pPr>
        <w:pStyle w:val="ListBullet"/>
      </w:pPr>
      <w:r>
        <w:t>Commission agent (charge plate-forme).</w:t>
      </w:r>
    </w:p>
    <w:p>
      <w:pPr>
        <w:pStyle w:val="ListBullet"/>
      </w:pPr>
      <w:r>
        <w:t>Override super-agent (charge plate-forme).</w:t>
      </w:r>
    </w:p>
    <w:p>
      <w:pPr>
        <w:pStyle w:val="ListBullet"/>
      </w:pPr>
      <w:r>
        <w:t>Frais Stripe / PayPal (charge plate-forme).</w:t>
      </w:r>
    </w:p>
    <w:p>
      <w:pPr>
        <w:pStyle w:val="Heading1"/>
      </w:pPr>
      <w:r>
        <w:rPr>
          <w:color w:val="011645"/>
          <w:sz w:val="40"/>
        </w:rPr>
        <w:t>2. Écritures par statut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Statut</w:t>
            </w:r>
          </w:p>
        </w:tc>
        <w:tc>
          <w:tcPr>
            <w:tcW w:type="dxa" w:w="2436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Débit</w:t>
            </w:r>
          </w:p>
        </w:tc>
        <w:tc>
          <w:tcPr>
            <w:tcW w:type="dxa" w:w="2436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Crédit</w:t>
            </w:r>
          </w:p>
        </w:tc>
        <w:tc>
          <w:tcPr>
            <w:tcW w:type="dxa" w:w="2436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Compte tiers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Recharge OK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Banque (compte plate-forme)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Wallet client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BIDDING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Wallet client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Wallet réservé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COMPLETED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Wallet réservé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Compte agent + frais SendFloo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Agent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CANCELLED (avant remise)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Wallet réservé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Wallet client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Commission agent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Compte agent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Banque (sortie)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Agent</w:t>
            </w:r>
          </w:p>
        </w:tc>
      </w:tr>
    </w:tbl>
    <w:p>
      <w:pPr>
        <w:pStyle w:val="Heading1"/>
      </w:pPr>
      <w:r>
        <w:rPr>
          <w:color w:val="011645"/>
          <w:sz w:val="40"/>
        </w:rPr>
        <w:t>3. Comptes utilisés (plan comptable simplifié)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N°</w:t>
            </w:r>
          </w:p>
        </w:tc>
        <w:tc>
          <w:tcPr>
            <w:tcW w:type="dxa" w:w="3249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Libellé</w:t>
            </w:r>
          </w:p>
        </w:tc>
        <w:tc>
          <w:tcPr>
            <w:tcW w:type="dxa" w:w="3249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512100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Banque SendFloo EUR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Actif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512200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Banque SendFloo XAF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Actif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467100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Wallets clients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Passif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467110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Wallets réservés (transferts en cours)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Passif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467200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Comptes agents (à payer)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Passif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706000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CA frais plate-forme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Produits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706100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CA spread FX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Produits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622000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Frais Stripe / PayPal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Charges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622100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Frais Twilio / SendGrid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Charges</w:t>
            </w:r>
          </w:p>
        </w:tc>
      </w:tr>
    </w:tbl>
    <w:p>
      <w:pPr>
        <w:pStyle w:val="Heading1"/>
      </w:pPr>
      <w:r>
        <w:rPr>
          <w:color w:val="011645"/>
          <w:sz w:val="40"/>
        </w:rPr>
        <w:t>4. Commissions</w:t>
      </w:r>
    </w:p>
    <w:p>
      <w:pPr>
        <w:pStyle w:val="ListBullet"/>
      </w:pPr>
      <w:r>
        <w:t>Commission agent : crédit immédiat sur compte agent dès COMPLETED.</w:t>
      </w:r>
    </w:p>
    <w:p>
      <w:pPr>
        <w:pStyle w:val="ListBullet"/>
      </w:pPr>
      <w:r>
        <w:t>Override super-agent : calcul mensuel J+5.</w:t>
      </w:r>
    </w:p>
    <w:p>
      <w:pPr>
        <w:pStyle w:val="ListBullet"/>
      </w:pPr>
      <w:r>
        <w:t>Pas de retenue (transparent 100 % de l'enchère).</w:t>
      </w:r>
    </w:p>
    <w:p>
      <w:pPr>
        <w:pStyle w:val="Heading1"/>
      </w:pPr>
      <w:r>
        <w:rPr>
          <w:color w:val="011645"/>
          <w:sz w:val="40"/>
        </w:rPr>
        <w:t>5. Remboursements</w:t>
      </w:r>
    </w:p>
    <w:p>
      <w:pPr>
        <w:pStyle w:val="ListBullet"/>
      </w:pPr>
      <w:r>
        <w:t>Refund partiel (annulation post-BIDDING) : 70 % crédit wallet, 30 % retenu en frais plate-forme.</w:t>
      </w:r>
    </w:p>
    <w:p>
      <w:pPr>
        <w:pStyle w:val="ListBullet"/>
      </w:pPr>
      <w:r>
        <w:t>Refund total (expiration ou bug) : 100 % crédit wallet.</w:t>
      </w:r>
    </w:p>
    <w:p>
      <w:pPr>
        <w:pStyle w:val="ListBullet"/>
      </w:pPr>
      <w:r>
        <w:t>Refund vers carte (3-7j ouvrés) : opération à faire via dashboard Stripe.</w:t>
      </w:r>
    </w:p>
    <w:p>
      <w:pPr>
        <w:pStyle w:val="Heading1"/>
      </w:pPr>
      <w:r>
        <w:rPr>
          <w:color w:val="011645"/>
          <w:sz w:val="40"/>
        </w:rPr>
        <w:t>6. Suspens et écarts</w:t>
      </w:r>
    </w:p>
    <w:p>
      <w:pPr>
        <w:pStyle w:val="ListBullet"/>
      </w:pPr>
      <w:r>
        <w:t>Tout écart &gt; 1 € entre balance wallet et somme transactions = ticket compliance.</w:t>
      </w:r>
    </w:p>
    <w:p>
      <w:pPr>
        <w:pStyle w:val="ListBullet"/>
      </w:pPr>
      <w:r>
        <w:t>Tout transfert en suspens &gt; 7 jours = revue manuelle.</w:t>
      </w:r>
    </w:p>
    <w:p>
      <w:pPr>
        <w:pStyle w:val="ListBullet"/>
      </w:pPr>
      <w:r>
        <w:t>Tout refund non aboutie &gt; 14 jours = remontée direction finance.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