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293" w:rsidRPr="00A82396" w:rsidRDefault="00260293" w:rsidP="00260293">
      <w:pPr>
        <w:pStyle w:val="Default"/>
        <w:jc w:val="center"/>
        <w:rPr>
          <w:rFonts w:asciiTheme="minorHAnsi" w:hAnsiTheme="minorHAnsi"/>
          <w:sz w:val="22"/>
          <w:szCs w:val="22"/>
        </w:rPr>
      </w:pPr>
      <w:bookmarkStart w:id="0" w:name="_GoBack"/>
      <w:bookmarkEnd w:id="0"/>
      <w:r w:rsidRPr="00A82396">
        <w:rPr>
          <w:rFonts w:asciiTheme="minorHAnsi" w:hAnsiTheme="minorHAnsi"/>
          <w:sz w:val="22"/>
          <w:szCs w:val="22"/>
        </w:rPr>
        <w:t>Appendix A</w:t>
      </w:r>
    </w:p>
    <w:p w:rsidR="00260293" w:rsidRPr="00A82396" w:rsidRDefault="00260293" w:rsidP="00260293">
      <w:pPr>
        <w:pStyle w:val="Default"/>
        <w:jc w:val="center"/>
        <w:rPr>
          <w:rFonts w:asciiTheme="minorHAnsi" w:hAnsiTheme="minorHAnsi"/>
          <w:b/>
        </w:rPr>
      </w:pPr>
      <w:r w:rsidRPr="00A82396">
        <w:rPr>
          <w:rFonts w:asciiTheme="minorHAnsi" w:hAnsiTheme="minorHAnsi"/>
          <w:b/>
        </w:rPr>
        <w:t>What to Expect as a HI-PIC Intern</w:t>
      </w:r>
    </w:p>
    <w:p w:rsidR="00260293" w:rsidRPr="00A82396" w:rsidRDefault="00260293" w:rsidP="00260293">
      <w:pPr>
        <w:pStyle w:val="Default"/>
        <w:rPr>
          <w:rFonts w:asciiTheme="minorHAnsi" w:hAnsiTheme="minorHAnsi"/>
          <w:sz w:val="22"/>
          <w:szCs w:val="22"/>
        </w:rPr>
      </w:pPr>
    </w:p>
    <w:p w:rsidR="00260293" w:rsidRPr="00A82396" w:rsidRDefault="00260293" w:rsidP="00260293">
      <w:pPr>
        <w:pStyle w:val="Default"/>
        <w:rPr>
          <w:rFonts w:asciiTheme="minorHAnsi" w:hAnsiTheme="minorHAnsi"/>
          <w:sz w:val="22"/>
          <w:szCs w:val="22"/>
        </w:rPr>
      </w:pPr>
      <w:r w:rsidRPr="00A82396">
        <w:rPr>
          <w:rFonts w:asciiTheme="minorHAnsi" w:hAnsiTheme="minorHAnsi"/>
          <w:b/>
          <w:sz w:val="22"/>
          <w:szCs w:val="22"/>
        </w:rPr>
        <w:t>After an internship offer is made, the following steps are taken before the internship begins</w:t>
      </w:r>
      <w:r w:rsidRPr="00A82396">
        <w:rPr>
          <w:rFonts w:asciiTheme="minorHAnsi" w:hAnsiTheme="minorHAnsi"/>
          <w:sz w:val="22"/>
          <w:szCs w:val="22"/>
        </w:rPr>
        <w:t>:</w:t>
      </w:r>
    </w:p>
    <w:p w:rsidR="00260293" w:rsidRPr="00A82396" w:rsidRDefault="00260293" w:rsidP="00260293">
      <w:pPr>
        <w:pStyle w:val="Default"/>
        <w:rPr>
          <w:rFonts w:asciiTheme="minorHAnsi" w:hAnsiTheme="minorHAnsi"/>
          <w:sz w:val="22"/>
          <w:szCs w:val="22"/>
        </w:rPr>
      </w:pPr>
    </w:p>
    <w:p w:rsidR="00260293" w:rsidRPr="00A82396" w:rsidRDefault="00260293" w:rsidP="00260293">
      <w:pPr>
        <w:pStyle w:val="ListParagraph"/>
        <w:numPr>
          <w:ilvl w:val="0"/>
          <w:numId w:val="4"/>
        </w:numPr>
        <w:spacing w:after="0" w:line="240" w:lineRule="auto"/>
        <w:contextualSpacing w:val="0"/>
      </w:pPr>
      <w:r w:rsidRPr="00A82396">
        <w:t>The Western Interstate Commission for Higher Education (WICHE) Human Resources Coordinator, Tara Hickey (</w:t>
      </w:r>
      <w:hyperlink r:id="rId6" w:history="1">
        <w:r w:rsidRPr="00A82396">
          <w:rPr>
            <w:rStyle w:val="Hyperlink"/>
          </w:rPr>
          <w:t>thickey@wiche.edu</w:t>
        </w:r>
      </w:hyperlink>
      <w:r w:rsidRPr="00A82396">
        <w:t xml:space="preserve">), will contact you to complete a background check required for employment.  </w:t>
      </w:r>
    </w:p>
    <w:p w:rsidR="00260293" w:rsidRPr="00A82396" w:rsidRDefault="00260293" w:rsidP="00260293">
      <w:pPr>
        <w:pStyle w:val="ListParagraph"/>
        <w:spacing w:after="0" w:line="240" w:lineRule="auto"/>
        <w:ind w:firstLine="720"/>
        <w:contextualSpacing w:val="0"/>
      </w:pPr>
      <w:r w:rsidRPr="00A82396">
        <w:t>The Background Check includes:</w:t>
      </w:r>
    </w:p>
    <w:p w:rsidR="00260293" w:rsidRPr="00A82396" w:rsidRDefault="00260293" w:rsidP="00260293">
      <w:pPr>
        <w:pStyle w:val="ListParagraph"/>
        <w:numPr>
          <w:ilvl w:val="1"/>
          <w:numId w:val="4"/>
        </w:numPr>
        <w:spacing w:after="0" w:line="240" w:lineRule="auto"/>
        <w:ind w:firstLine="1080"/>
        <w:contextualSpacing w:val="0"/>
      </w:pPr>
      <w:r w:rsidRPr="00A82396">
        <w:t>Social Security Trace</w:t>
      </w:r>
    </w:p>
    <w:p w:rsidR="00260293" w:rsidRPr="00A82396" w:rsidRDefault="00260293" w:rsidP="00260293">
      <w:pPr>
        <w:pStyle w:val="ListParagraph"/>
        <w:numPr>
          <w:ilvl w:val="1"/>
          <w:numId w:val="4"/>
        </w:numPr>
        <w:spacing w:after="0" w:line="240" w:lineRule="auto"/>
        <w:ind w:firstLine="1080"/>
        <w:contextualSpacing w:val="0"/>
      </w:pPr>
      <w:r w:rsidRPr="00A82396">
        <w:t>County Criminal Felony &amp; Misdemeanor - All counties lived</w:t>
      </w:r>
    </w:p>
    <w:p w:rsidR="00260293" w:rsidRPr="00A82396" w:rsidRDefault="00260293" w:rsidP="00260293">
      <w:pPr>
        <w:pStyle w:val="ListParagraph"/>
        <w:numPr>
          <w:ilvl w:val="1"/>
          <w:numId w:val="4"/>
        </w:numPr>
        <w:spacing w:after="0" w:line="240" w:lineRule="auto"/>
        <w:ind w:left="2880" w:hanging="720"/>
        <w:contextualSpacing w:val="0"/>
      </w:pPr>
      <w:r w:rsidRPr="00A82396">
        <w:t>7-Year History Multi-Jurisdictional National Search with County Verification.  This search includes:</w:t>
      </w:r>
    </w:p>
    <w:p w:rsidR="00260293" w:rsidRPr="00A82396" w:rsidRDefault="00260293" w:rsidP="00260293">
      <w:pPr>
        <w:pStyle w:val="ListParagraph"/>
        <w:numPr>
          <w:ilvl w:val="5"/>
          <w:numId w:val="4"/>
        </w:numPr>
        <w:spacing w:after="0" w:line="240" w:lineRule="auto"/>
        <w:contextualSpacing w:val="0"/>
      </w:pPr>
      <w:r w:rsidRPr="00A82396">
        <w:t>National Sex Offender Registry – live search</w:t>
      </w:r>
    </w:p>
    <w:p w:rsidR="00260293" w:rsidRPr="00A82396" w:rsidRDefault="00260293" w:rsidP="00260293">
      <w:pPr>
        <w:pStyle w:val="ListParagraph"/>
        <w:numPr>
          <w:ilvl w:val="5"/>
          <w:numId w:val="4"/>
        </w:numPr>
        <w:spacing w:after="0" w:line="240" w:lineRule="auto"/>
        <w:contextualSpacing w:val="0"/>
      </w:pPr>
      <w:r w:rsidRPr="00A82396">
        <w:t>Department of Corrections/Bureau of Prisons Records in 45 States</w:t>
      </w:r>
    </w:p>
    <w:p w:rsidR="00260293" w:rsidRPr="00A82396" w:rsidRDefault="00260293" w:rsidP="00260293">
      <w:pPr>
        <w:pStyle w:val="ListParagraph"/>
        <w:numPr>
          <w:ilvl w:val="5"/>
          <w:numId w:val="4"/>
        </w:numPr>
        <w:spacing w:after="0" w:line="240" w:lineRule="auto"/>
        <w:contextualSpacing w:val="0"/>
      </w:pPr>
      <w:r w:rsidRPr="00A82396">
        <w:t>Partial County Court Records in over 1100 counties</w:t>
      </w:r>
    </w:p>
    <w:p w:rsidR="00260293" w:rsidRPr="00A82396" w:rsidRDefault="00260293" w:rsidP="00260293">
      <w:pPr>
        <w:pStyle w:val="ListParagraph"/>
        <w:numPr>
          <w:ilvl w:val="5"/>
          <w:numId w:val="4"/>
        </w:numPr>
        <w:spacing w:after="0" w:line="240" w:lineRule="auto"/>
        <w:contextualSpacing w:val="0"/>
      </w:pPr>
      <w:r w:rsidRPr="00A82396">
        <w:t>State Criminal Record Databases From 20 States</w:t>
      </w:r>
    </w:p>
    <w:p w:rsidR="00260293" w:rsidRPr="00A82396" w:rsidRDefault="00260293" w:rsidP="00260293">
      <w:pPr>
        <w:pStyle w:val="ListParagraph"/>
        <w:numPr>
          <w:ilvl w:val="5"/>
          <w:numId w:val="4"/>
        </w:numPr>
        <w:spacing w:after="0" w:line="240" w:lineRule="auto"/>
        <w:contextualSpacing w:val="0"/>
      </w:pPr>
      <w:r w:rsidRPr="00A82396">
        <w:t>OFAC Blocked persons List</w:t>
      </w:r>
    </w:p>
    <w:p w:rsidR="00260293" w:rsidRPr="00A82396" w:rsidRDefault="00260293" w:rsidP="00260293">
      <w:pPr>
        <w:pStyle w:val="ListParagraph"/>
        <w:numPr>
          <w:ilvl w:val="5"/>
          <w:numId w:val="4"/>
        </w:numPr>
        <w:spacing w:after="0" w:line="240" w:lineRule="auto"/>
        <w:contextualSpacing w:val="0"/>
      </w:pPr>
      <w:r w:rsidRPr="00A82396">
        <w:t>Denied Persons List; Debarred Persons List</w:t>
      </w:r>
    </w:p>
    <w:p w:rsidR="00260293" w:rsidRPr="00A82396" w:rsidRDefault="00260293" w:rsidP="00260293">
      <w:pPr>
        <w:pStyle w:val="ListParagraph"/>
        <w:numPr>
          <w:ilvl w:val="5"/>
          <w:numId w:val="4"/>
        </w:numPr>
        <w:spacing w:after="0" w:line="240" w:lineRule="auto"/>
        <w:contextualSpacing w:val="0"/>
      </w:pPr>
      <w:r w:rsidRPr="00A82396">
        <w:t>FBI Fugitive List</w:t>
      </w:r>
    </w:p>
    <w:p w:rsidR="00260293" w:rsidRPr="00A82396" w:rsidRDefault="00260293" w:rsidP="00260293">
      <w:pPr>
        <w:pStyle w:val="ListParagraph"/>
        <w:numPr>
          <w:ilvl w:val="5"/>
          <w:numId w:val="4"/>
        </w:numPr>
        <w:spacing w:after="0" w:line="240" w:lineRule="auto"/>
        <w:contextualSpacing w:val="0"/>
      </w:pPr>
      <w:r w:rsidRPr="00A82396">
        <w:t>National Public Record Online Indexes</w:t>
      </w:r>
    </w:p>
    <w:p w:rsidR="00260293" w:rsidRPr="00A82396" w:rsidRDefault="00260293" w:rsidP="00260293">
      <w:pPr>
        <w:pStyle w:val="ListParagraph"/>
        <w:numPr>
          <w:ilvl w:val="5"/>
          <w:numId w:val="4"/>
        </w:numPr>
        <w:spacing w:after="0" w:line="240" w:lineRule="auto"/>
        <w:contextualSpacing w:val="0"/>
      </w:pPr>
      <w:r w:rsidRPr="00A82396">
        <w:t>Database of Searched Criminal Records</w:t>
      </w:r>
    </w:p>
    <w:p w:rsidR="00260293" w:rsidRPr="00A82396" w:rsidRDefault="00260293" w:rsidP="00260293">
      <w:pPr>
        <w:pStyle w:val="ListParagraph"/>
        <w:numPr>
          <w:ilvl w:val="5"/>
          <w:numId w:val="4"/>
        </w:numPr>
        <w:spacing w:after="0" w:line="240" w:lineRule="auto"/>
        <w:contextualSpacing w:val="0"/>
      </w:pPr>
      <w:r w:rsidRPr="00A82396">
        <w:t>Interpol Most Wanted List</w:t>
      </w:r>
    </w:p>
    <w:p w:rsidR="00260293" w:rsidRPr="00A82396" w:rsidRDefault="00260293" w:rsidP="00260293">
      <w:pPr>
        <w:pStyle w:val="ListParagraph"/>
        <w:numPr>
          <w:ilvl w:val="5"/>
          <w:numId w:val="4"/>
        </w:numPr>
        <w:spacing w:after="0" w:line="240" w:lineRule="auto"/>
        <w:contextualSpacing w:val="0"/>
      </w:pPr>
      <w:r w:rsidRPr="00A82396">
        <w:t>Canadian OSFI List</w:t>
      </w:r>
    </w:p>
    <w:p w:rsidR="00260293" w:rsidRPr="00A82396" w:rsidRDefault="00260293" w:rsidP="00260293">
      <w:pPr>
        <w:pStyle w:val="ListParagraph"/>
        <w:numPr>
          <w:ilvl w:val="5"/>
          <w:numId w:val="4"/>
        </w:numPr>
        <w:spacing w:after="0" w:line="240" w:lineRule="auto"/>
        <w:contextualSpacing w:val="0"/>
      </w:pPr>
      <w:r w:rsidRPr="00A82396">
        <w:t xml:space="preserve">European Union Terrorism Sanctions List </w:t>
      </w:r>
    </w:p>
    <w:p w:rsidR="00260293" w:rsidRPr="00A82396" w:rsidRDefault="00260293" w:rsidP="00260293">
      <w:pPr>
        <w:pStyle w:val="ListParagraph"/>
        <w:spacing w:after="0" w:line="240" w:lineRule="auto"/>
        <w:ind w:left="2520"/>
        <w:contextualSpacing w:val="0"/>
      </w:pPr>
    </w:p>
    <w:p w:rsidR="00260293" w:rsidRPr="00A82396" w:rsidRDefault="00260293" w:rsidP="00260293">
      <w:pPr>
        <w:pStyle w:val="ListParagraph"/>
        <w:numPr>
          <w:ilvl w:val="0"/>
          <w:numId w:val="4"/>
        </w:numPr>
        <w:spacing w:after="0" w:line="240" w:lineRule="auto"/>
      </w:pPr>
      <w:r w:rsidRPr="00A82396">
        <w:t xml:space="preserve">WICHE Human Resources and Administration determine if a particular record should prevent someone from being employed.  Several factors are employed in that determination. For example, nature of crime, date of the offence, potential impact of the offence, etc.  </w:t>
      </w:r>
    </w:p>
    <w:p w:rsidR="00260293" w:rsidRPr="00A82396" w:rsidRDefault="00260293" w:rsidP="00260293">
      <w:pPr>
        <w:pStyle w:val="ListParagraph"/>
        <w:spacing w:after="0" w:line="240" w:lineRule="auto"/>
        <w:ind w:left="360"/>
      </w:pPr>
    </w:p>
    <w:p w:rsidR="00260293" w:rsidRPr="00A82396" w:rsidRDefault="00260293" w:rsidP="00260293">
      <w:pPr>
        <w:pStyle w:val="ListParagraph"/>
        <w:numPr>
          <w:ilvl w:val="0"/>
          <w:numId w:val="4"/>
        </w:numPr>
        <w:spacing w:after="0" w:line="240" w:lineRule="auto"/>
      </w:pPr>
      <w:r w:rsidRPr="00A82396">
        <w:t>In addition to WICHE requirements, each Hawaii state agency has credentialing requirements for matched interns.  You will be contacted by the Human Resources department of each state agency to complete necessary steps for credentialing within the setting:</w:t>
      </w:r>
    </w:p>
    <w:p w:rsidR="00260293" w:rsidRPr="00A82396" w:rsidRDefault="00260293" w:rsidP="00260293">
      <w:pPr>
        <w:pStyle w:val="ListParagraph"/>
        <w:numPr>
          <w:ilvl w:val="1"/>
          <w:numId w:val="4"/>
        </w:numPr>
        <w:spacing w:after="0" w:line="240" w:lineRule="auto"/>
        <w:rPr>
          <w:b/>
        </w:rPr>
      </w:pPr>
      <w:r w:rsidRPr="00A82396">
        <w:rPr>
          <w:b/>
        </w:rPr>
        <w:t>Department of Public Safety (for interns matched at Oahu Community Correctional Facility):</w:t>
      </w:r>
    </w:p>
    <w:p w:rsidR="00260293" w:rsidRPr="00A82396" w:rsidRDefault="00260293" w:rsidP="00260293">
      <w:pPr>
        <w:pStyle w:val="ListParagraph"/>
        <w:numPr>
          <w:ilvl w:val="2"/>
          <w:numId w:val="4"/>
        </w:numPr>
        <w:spacing w:after="0" w:line="240" w:lineRule="auto"/>
      </w:pPr>
      <w:r w:rsidRPr="00A82396">
        <w:t xml:space="preserve">Matched interns must provide consent for a Criminal Background Check that includes a search of the Hawaii Criminal Justice Data Center and the National Crime Information Center.  </w:t>
      </w:r>
    </w:p>
    <w:p w:rsidR="00260293" w:rsidRPr="00A82396" w:rsidRDefault="00260293" w:rsidP="00260293">
      <w:pPr>
        <w:pStyle w:val="ListParagraph"/>
        <w:numPr>
          <w:ilvl w:val="2"/>
          <w:numId w:val="4"/>
        </w:numPr>
        <w:spacing w:after="0" w:line="240" w:lineRule="auto"/>
      </w:pPr>
      <w:r w:rsidRPr="00A82396">
        <w:t>The Department of Public Safety Human Resources Department determines on a case-by-case basis if a particular record should prevent someone from completing his or her internship within this setting.  However, general exclusionary criteria include:</w:t>
      </w:r>
    </w:p>
    <w:p w:rsidR="00260293" w:rsidRPr="00A82396" w:rsidRDefault="00260293" w:rsidP="00260293">
      <w:pPr>
        <w:pStyle w:val="ListParagraph"/>
        <w:numPr>
          <w:ilvl w:val="3"/>
          <w:numId w:val="4"/>
        </w:numPr>
        <w:spacing w:after="0" w:line="240" w:lineRule="auto"/>
      </w:pPr>
      <w:r w:rsidRPr="00A82396">
        <w:rPr>
          <w:color w:val="000000"/>
        </w:rPr>
        <w:t xml:space="preserve">Convicted felons must be in the community for 5 years during which time they must be completely arrest free.  They also need to be off all supervision for 2 years. </w:t>
      </w:r>
    </w:p>
    <w:p w:rsidR="00260293" w:rsidRPr="00A82396" w:rsidRDefault="00260293" w:rsidP="00260293">
      <w:pPr>
        <w:pStyle w:val="ListParagraph"/>
        <w:numPr>
          <w:ilvl w:val="3"/>
          <w:numId w:val="4"/>
        </w:numPr>
        <w:spacing w:after="0" w:line="240" w:lineRule="auto"/>
      </w:pPr>
      <w:r w:rsidRPr="00A82396">
        <w:rPr>
          <w:color w:val="000000"/>
        </w:rPr>
        <w:t>Convicted misdemeanants must be in the community for 2 years during which time they must be completely arrest free and off all supervision for 2 years.</w:t>
      </w:r>
    </w:p>
    <w:p w:rsidR="00260293" w:rsidRPr="00A82396" w:rsidRDefault="00260293" w:rsidP="00260293">
      <w:pPr>
        <w:pStyle w:val="ListParagraph"/>
        <w:numPr>
          <w:ilvl w:val="3"/>
          <w:numId w:val="4"/>
        </w:numPr>
        <w:spacing w:after="0" w:line="240" w:lineRule="auto"/>
      </w:pPr>
      <w:r w:rsidRPr="00A82396">
        <w:rPr>
          <w:color w:val="000000"/>
        </w:rPr>
        <w:t>Persons with pending criminal charges will not be considered.</w:t>
      </w:r>
    </w:p>
    <w:p w:rsidR="00260293" w:rsidRPr="00A82396" w:rsidRDefault="00260293" w:rsidP="00260293">
      <w:pPr>
        <w:pStyle w:val="ListParagraph"/>
        <w:numPr>
          <w:ilvl w:val="3"/>
          <w:numId w:val="4"/>
        </w:numPr>
        <w:spacing w:after="0" w:line="240" w:lineRule="auto"/>
      </w:pPr>
      <w:r w:rsidRPr="00A82396">
        <w:rPr>
          <w:color w:val="000000"/>
        </w:rPr>
        <w:t>Persons on probation or parole are not eligible.</w:t>
      </w:r>
    </w:p>
    <w:p w:rsidR="00260293" w:rsidRPr="00A82396" w:rsidRDefault="00260293" w:rsidP="00260293">
      <w:pPr>
        <w:pStyle w:val="ListParagraph"/>
        <w:numPr>
          <w:ilvl w:val="3"/>
          <w:numId w:val="4"/>
        </w:numPr>
        <w:spacing w:after="0" w:line="240" w:lineRule="auto"/>
      </w:pPr>
      <w:r w:rsidRPr="00A82396">
        <w:rPr>
          <w:color w:val="000000"/>
        </w:rPr>
        <w:lastRenderedPageBreak/>
        <w:t>Persons convicted of a sex crime will require special review and approval.</w:t>
      </w:r>
    </w:p>
    <w:p w:rsidR="00260293" w:rsidRPr="00A82396" w:rsidRDefault="00260293" w:rsidP="00260293">
      <w:pPr>
        <w:pStyle w:val="ListParagraph"/>
        <w:numPr>
          <w:ilvl w:val="3"/>
          <w:numId w:val="4"/>
        </w:numPr>
        <w:spacing w:after="0" w:line="240" w:lineRule="auto"/>
      </w:pPr>
      <w:r w:rsidRPr="00A82396">
        <w:rPr>
          <w:color w:val="000000"/>
        </w:rPr>
        <w:t>Persons found not guilty by reason of insanity or mental defect will require special review and approval.</w:t>
      </w:r>
    </w:p>
    <w:p w:rsidR="00260293" w:rsidRPr="00A82396" w:rsidRDefault="00260293" w:rsidP="00260293">
      <w:pPr>
        <w:pStyle w:val="ListParagraph"/>
        <w:numPr>
          <w:ilvl w:val="3"/>
          <w:numId w:val="4"/>
        </w:numPr>
        <w:spacing w:after="0" w:line="240" w:lineRule="auto"/>
      </w:pPr>
      <w:r w:rsidRPr="00A82396">
        <w:rPr>
          <w:color w:val="000000"/>
        </w:rPr>
        <w:t>Persons with substance abuse histories/problems should be with the referring organization for 1 year as well as clean and sober for at least 1 continuous year, 2 years are suggested.</w:t>
      </w:r>
    </w:p>
    <w:p w:rsidR="00260293" w:rsidRPr="00A82396" w:rsidRDefault="00260293" w:rsidP="00260293">
      <w:pPr>
        <w:pStyle w:val="ListParagraph"/>
        <w:numPr>
          <w:ilvl w:val="3"/>
          <w:numId w:val="4"/>
        </w:numPr>
        <w:spacing w:after="0" w:line="240" w:lineRule="auto"/>
      </w:pPr>
      <w:r w:rsidRPr="00A82396">
        <w:rPr>
          <w:color w:val="000000"/>
        </w:rPr>
        <w:t xml:space="preserve">Anyone who fails to fully disclose </w:t>
      </w:r>
      <w:proofErr w:type="gramStart"/>
      <w:r w:rsidRPr="00A82396">
        <w:rPr>
          <w:color w:val="000000"/>
        </w:rPr>
        <w:t>their</w:t>
      </w:r>
      <w:proofErr w:type="gramEnd"/>
      <w:r w:rsidRPr="00A82396">
        <w:rPr>
          <w:color w:val="000000"/>
        </w:rPr>
        <w:t xml:space="preserve"> criminal history, falsifies, or withholds information on the Consent For Criminal Background Check will be rejected.</w:t>
      </w:r>
    </w:p>
    <w:p w:rsidR="00260293" w:rsidRPr="00A82396" w:rsidRDefault="00260293" w:rsidP="00260293">
      <w:pPr>
        <w:pStyle w:val="ListParagraph"/>
        <w:numPr>
          <w:ilvl w:val="3"/>
          <w:numId w:val="4"/>
        </w:numPr>
        <w:spacing w:after="0" w:line="240" w:lineRule="auto"/>
      </w:pPr>
      <w:r w:rsidRPr="00A82396">
        <w:rPr>
          <w:color w:val="000000"/>
        </w:rPr>
        <w:t xml:space="preserve">Exceptions to these require approvals from the affected wardens, division administrators, and Deputy Director Of Corrections.  </w:t>
      </w:r>
    </w:p>
    <w:p w:rsidR="00260293" w:rsidRPr="00A82396" w:rsidRDefault="00260293" w:rsidP="00260293">
      <w:pPr>
        <w:pStyle w:val="ListParagraph"/>
        <w:numPr>
          <w:ilvl w:val="1"/>
          <w:numId w:val="4"/>
        </w:numPr>
        <w:spacing w:after="0" w:line="240" w:lineRule="auto"/>
        <w:rPr>
          <w:b/>
        </w:rPr>
      </w:pPr>
      <w:r w:rsidRPr="00A82396">
        <w:rPr>
          <w:b/>
        </w:rPr>
        <w:t>Department of Health (for interns matched at Hawaii Youth Correctional Facility, Hawaii Family Guidance Center, and Hawaii School District):</w:t>
      </w:r>
    </w:p>
    <w:p w:rsidR="00260293" w:rsidRPr="00A82396" w:rsidRDefault="00260293" w:rsidP="00260293">
      <w:pPr>
        <w:pStyle w:val="ListParagraph"/>
        <w:numPr>
          <w:ilvl w:val="2"/>
          <w:numId w:val="4"/>
        </w:numPr>
        <w:rPr>
          <w:color w:val="000000"/>
        </w:rPr>
      </w:pPr>
      <w:r w:rsidRPr="00A82396">
        <w:t>Matched interns must be fingerprinted and given consent for the completion of a Criminal Background check, a National Sex Offender Registry check, and a Child Abuse and Neglect Central Registry check.</w:t>
      </w:r>
    </w:p>
    <w:p w:rsidR="00260293" w:rsidRPr="00A82396" w:rsidRDefault="00260293" w:rsidP="00260293">
      <w:pPr>
        <w:pStyle w:val="ListParagraph"/>
        <w:numPr>
          <w:ilvl w:val="2"/>
          <w:numId w:val="4"/>
        </w:numPr>
        <w:spacing w:after="0" w:line="240" w:lineRule="auto"/>
      </w:pPr>
      <w:r w:rsidRPr="00A82396">
        <w:t>The Department of Health Human Resources Department determines on a case-by-case basis if a particular record should prevent someone from completing his or her internship within this setting.  However, general exclusionary criteria include:</w:t>
      </w:r>
    </w:p>
    <w:p w:rsidR="00260293" w:rsidRPr="00A82396" w:rsidRDefault="00260293" w:rsidP="00260293">
      <w:pPr>
        <w:pStyle w:val="ListParagraph"/>
        <w:numPr>
          <w:ilvl w:val="3"/>
          <w:numId w:val="4"/>
        </w:numPr>
        <w:spacing w:after="0" w:line="240" w:lineRule="auto"/>
      </w:pPr>
      <w:r w:rsidRPr="00A82396">
        <w:t>Previous conviction of a felony</w:t>
      </w:r>
    </w:p>
    <w:p w:rsidR="00260293" w:rsidRPr="00A82396" w:rsidRDefault="00260293" w:rsidP="00260293">
      <w:pPr>
        <w:pStyle w:val="ListParagraph"/>
        <w:numPr>
          <w:ilvl w:val="3"/>
          <w:numId w:val="4"/>
        </w:numPr>
        <w:spacing w:after="0" w:line="240" w:lineRule="auto"/>
      </w:pPr>
      <w:r w:rsidRPr="00A82396">
        <w:t>Registered sex offender</w:t>
      </w:r>
    </w:p>
    <w:p w:rsidR="00260293" w:rsidRPr="00A82396" w:rsidRDefault="00260293" w:rsidP="00260293">
      <w:pPr>
        <w:pStyle w:val="ListParagraph"/>
        <w:numPr>
          <w:ilvl w:val="1"/>
          <w:numId w:val="4"/>
        </w:numPr>
        <w:spacing w:after="0" w:line="240" w:lineRule="auto"/>
        <w:rPr>
          <w:b/>
        </w:rPr>
      </w:pPr>
      <w:r w:rsidRPr="00A82396">
        <w:rPr>
          <w:b/>
        </w:rPr>
        <w:t>Department of Education (for interns matched at Windward, Kauai, and Hawaii School Districts, and Hawaii Family Guidance Center)</w:t>
      </w:r>
    </w:p>
    <w:p w:rsidR="00260293" w:rsidRPr="00A82396" w:rsidRDefault="00260293" w:rsidP="00260293">
      <w:pPr>
        <w:pStyle w:val="ListParagraph"/>
        <w:numPr>
          <w:ilvl w:val="2"/>
          <w:numId w:val="4"/>
        </w:numPr>
        <w:spacing w:after="0" w:line="240" w:lineRule="auto"/>
      </w:pPr>
      <w:r w:rsidRPr="00A82396">
        <w:t>Currently there is no additional screening required by the Department of Education.</w:t>
      </w:r>
    </w:p>
    <w:p w:rsidR="00260293" w:rsidRPr="00A82396" w:rsidRDefault="00260293" w:rsidP="00260293">
      <w:pPr>
        <w:spacing w:after="0" w:line="240" w:lineRule="auto"/>
        <w:rPr>
          <w:rFonts w:asciiTheme="minorHAnsi" w:eastAsia="Times New Roman" w:hAnsiTheme="minorHAnsi" w:cs="Arial"/>
          <w:b/>
          <w:bCs/>
          <w:color w:val="000000"/>
        </w:rPr>
      </w:pPr>
    </w:p>
    <w:p w:rsidR="00260293" w:rsidRPr="00A82396" w:rsidRDefault="00260293" w:rsidP="00260293">
      <w:pPr>
        <w:spacing w:after="0" w:line="240" w:lineRule="auto"/>
        <w:rPr>
          <w:rFonts w:asciiTheme="minorHAnsi" w:eastAsia="Times New Roman" w:hAnsiTheme="minorHAnsi" w:cs="Arial"/>
          <w:b/>
          <w:bCs/>
          <w:color w:val="000000"/>
        </w:rPr>
      </w:pPr>
    </w:p>
    <w:p w:rsidR="00260293" w:rsidRPr="00A82396" w:rsidRDefault="00260293" w:rsidP="00260293">
      <w:pPr>
        <w:spacing w:after="0" w:line="240" w:lineRule="auto"/>
        <w:rPr>
          <w:rFonts w:asciiTheme="minorHAnsi" w:eastAsia="Times New Roman" w:hAnsiTheme="minorHAnsi" w:cs="Arial"/>
          <w:color w:val="000000"/>
          <w:u w:val="single"/>
        </w:rPr>
      </w:pPr>
      <w:r w:rsidRPr="00A82396">
        <w:rPr>
          <w:rFonts w:asciiTheme="minorHAnsi" w:eastAsia="Times New Roman" w:hAnsiTheme="minorHAnsi" w:cs="Arial"/>
          <w:b/>
          <w:bCs/>
          <w:color w:val="000000"/>
          <w:u w:val="single"/>
        </w:rPr>
        <w:t>Intern Benefits provided by the Western Interstate Commission for Higher Education</w:t>
      </w:r>
    </w:p>
    <w:p w:rsidR="00260293" w:rsidRPr="00A82396" w:rsidRDefault="00260293" w:rsidP="00260293">
      <w:pPr>
        <w:spacing w:after="0" w:line="240" w:lineRule="auto"/>
        <w:rPr>
          <w:rFonts w:asciiTheme="minorHAnsi" w:hAnsiTheme="minorHAnsi" w:cs="Calibri"/>
        </w:rPr>
      </w:pPr>
    </w:p>
    <w:p w:rsidR="00260293" w:rsidRPr="00A82396" w:rsidRDefault="00260293" w:rsidP="00260293">
      <w:pPr>
        <w:spacing w:before="100" w:beforeAutospacing="1" w:after="0" w:line="240" w:lineRule="auto"/>
        <w:contextualSpacing/>
        <w:rPr>
          <w:rFonts w:asciiTheme="minorHAnsi" w:eastAsia="Times New Roman" w:hAnsiTheme="minorHAnsi" w:cs="Calibri"/>
          <w:color w:val="000000"/>
        </w:rPr>
      </w:pPr>
      <w:r w:rsidRPr="00A82396">
        <w:rPr>
          <w:rFonts w:asciiTheme="minorHAnsi" w:eastAsia="Times New Roman" w:hAnsiTheme="minorHAnsi" w:cs="Calibri"/>
          <w:color w:val="000000"/>
        </w:rPr>
        <w:t> </w:t>
      </w:r>
      <w:r w:rsidRPr="00A82396">
        <w:rPr>
          <w:rFonts w:asciiTheme="minorHAnsi" w:eastAsia="Times New Roman" w:hAnsiTheme="minorHAnsi" w:cs="Calibri"/>
          <w:b/>
          <w:bCs/>
          <w:color w:val="0000FF"/>
          <w:u w:val="single"/>
        </w:rPr>
        <w:t>Medical Insurance</w:t>
      </w:r>
    </w:p>
    <w:p w:rsidR="00260293" w:rsidRPr="00A82396" w:rsidRDefault="00260293" w:rsidP="00260293">
      <w:pPr>
        <w:numPr>
          <w:ilvl w:val="0"/>
          <w:numId w:val="1"/>
        </w:numPr>
        <w:spacing w:before="100" w:beforeAutospacing="1" w:after="0" w:line="240" w:lineRule="auto"/>
        <w:contextualSpacing/>
        <w:rPr>
          <w:rFonts w:asciiTheme="minorHAnsi" w:eastAsia="Times New Roman" w:hAnsiTheme="minorHAnsi" w:cs="Calibri"/>
          <w:color w:val="000000"/>
        </w:rPr>
      </w:pPr>
      <w:r w:rsidRPr="00A82396">
        <w:rPr>
          <w:rFonts w:asciiTheme="minorHAnsi" w:eastAsia="Times New Roman" w:hAnsiTheme="minorHAnsi" w:cs="Calibri"/>
          <w:color w:val="000000"/>
        </w:rPr>
        <w:t>Comprehensive</w:t>
      </w:r>
      <w:r w:rsidRPr="00A82396">
        <w:rPr>
          <w:rFonts w:asciiTheme="minorHAnsi" w:eastAsia="Times New Roman" w:hAnsiTheme="minorHAnsi" w:cs="Calibri"/>
          <w:b/>
          <w:bCs/>
          <w:color w:val="000000"/>
        </w:rPr>
        <w:t xml:space="preserve"> </w:t>
      </w:r>
      <w:r w:rsidRPr="00A82396">
        <w:rPr>
          <w:rFonts w:asciiTheme="minorHAnsi" w:eastAsia="Times New Roman" w:hAnsiTheme="minorHAnsi" w:cs="Calibri"/>
          <w:bCs/>
          <w:color w:val="000000"/>
        </w:rPr>
        <w:t>medical plan (please refer to benefit summary or contact HR for more information).</w:t>
      </w:r>
    </w:p>
    <w:p w:rsidR="00260293" w:rsidRPr="00A82396" w:rsidRDefault="00260293" w:rsidP="00260293">
      <w:pPr>
        <w:numPr>
          <w:ilvl w:val="0"/>
          <w:numId w:val="1"/>
        </w:numPr>
        <w:spacing w:after="0" w:line="240" w:lineRule="auto"/>
        <w:rPr>
          <w:rFonts w:asciiTheme="minorHAnsi" w:hAnsiTheme="minorHAnsi" w:cs="Calibri"/>
        </w:rPr>
      </w:pPr>
      <w:r w:rsidRPr="00A82396">
        <w:rPr>
          <w:rFonts w:asciiTheme="minorHAnsi" w:hAnsiTheme="minorHAnsi" w:cs="Calibri"/>
        </w:rPr>
        <w:t xml:space="preserve">Coverage begins for new interns and their dependents (if elected) on first day of the month following date of hire. </w:t>
      </w:r>
    </w:p>
    <w:p w:rsidR="00260293" w:rsidRPr="00A82396" w:rsidRDefault="00260293" w:rsidP="00260293">
      <w:pPr>
        <w:numPr>
          <w:ilvl w:val="0"/>
          <w:numId w:val="1"/>
        </w:numPr>
        <w:spacing w:before="100" w:beforeAutospacing="1" w:after="0" w:line="240" w:lineRule="auto"/>
        <w:contextualSpacing/>
        <w:rPr>
          <w:rFonts w:asciiTheme="minorHAnsi" w:eastAsia="Times New Roman" w:hAnsiTheme="minorHAnsi" w:cs="Calibri"/>
          <w:color w:val="000000"/>
        </w:rPr>
      </w:pPr>
      <w:r w:rsidRPr="00A82396">
        <w:rPr>
          <w:rFonts w:asciiTheme="minorHAnsi" w:eastAsia="Times New Roman" w:hAnsiTheme="minorHAnsi" w:cs="Calibri"/>
          <w:color w:val="000000"/>
        </w:rPr>
        <w:t xml:space="preserve">WICHE abides by the Hawaii Prepaid Health Care Act when determining premium contributions made by WICHE and intern.  For single coverage, WICHE will pay at least one-half the premium cost and the intern’s contribution will not exceed 1.5% of the intern’s monthly wages.  </w:t>
      </w:r>
    </w:p>
    <w:p w:rsidR="00260293" w:rsidRPr="00A82396" w:rsidRDefault="00260293" w:rsidP="00260293">
      <w:pPr>
        <w:spacing w:after="0" w:line="240" w:lineRule="auto"/>
        <w:ind w:left="720"/>
        <w:contextualSpacing/>
        <w:rPr>
          <w:rFonts w:asciiTheme="minorHAnsi" w:eastAsia="Times New Roman" w:hAnsiTheme="minorHAnsi" w:cs="Calibri"/>
          <w:color w:val="000000"/>
        </w:rPr>
      </w:pPr>
      <w:r w:rsidRPr="00A82396">
        <w:rPr>
          <w:rFonts w:asciiTheme="minorHAnsi" w:eastAsia="Times New Roman" w:hAnsiTheme="minorHAnsi" w:cs="Calibri"/>
          <w:color w:val="000000"/>
        </w:rPr>
        <w:t> </w:t>
      </w:r>
    </w:p>
    <w:p w:rsidR="00260293" w:rsidRPr="00A82396" w:rsidRDefault="00260293" w:rsidP="00260293">
      <w:pPr>
        <w:spacing w:before="100" w:beforeAutospacing="1" w:after="0" w:line="240" w:lineRule="auto"/>
        <w:contextualSpacing/>
        <w:rPr>
          <w:rFonts w:asciiTheme="minorHAnsi" w:eastAsia="Times New Roman" w:hAnsiTheme="minorHAnsi" w:cs="Calibri"/>
          <w:color w:val="000000"/>
        </w:rPr>
      </w:pPr>
      <w:r w:rsidRPr="00A82396">
        <w:rPr>
          <w:rFonts w:asciiTheme="minorHAnsi" w:eastAsia="Times New Roman" w:hAnsiTheme="minorHAnsi" w:cs="Calibri"/>
          <w:b/>
          <w:bCs/>
          <w:color w:val="0000FF"/>
          <w:u w:val="single"/>
        </w:rPr>
        <w:t>Temporary Disability Insurance</w:t>
      </w:r>
    </w:p>
    <w:p w:rsidR="00260293" w:rsidRPr="00A82396" w:rsidRDefault="00260293" w:rsidP="00260293">
      <w:pPr>
        <w:pStyle w:val="ListParagraph"/>
        <w:numPr>
          <w:ilvl w:val="0"/>
          <w:numId w:val="2"/>
        </w:numPr>
        <w:spacing w:after="0" w:line="240" w:lineRule="auto"/>
        <w:rPr>
          <w:rFonts w:eastAsia="Times New Roman" w:cs="Calibri"/>
          <w:color w:val="000000"/>
        </w:rPr>
      </w:pPr>
      <w:r w:rsidRPr="00A82396">
        <w:rPr>
          <w:rFonts w:eastAsia="Times New Roman" w:cs="Calibri"/>
          <w:bCs/>
          <w:color w:val="000000"/>
        </w:rPr>
        <w:t>Wage replacement benefit for non-work related injury or sickness</w:t>
      </w:r>
    </w:p>
    <w:p w:rsidR="00260293" w:rsidRPr="00A82396" w:rsidRDefault="00260293" w:rsidP="00260293">
      <w:pPr>
        <w:numPr>
          <w:ilvl w:val="0"/>
          <w:numId w:val="2"/>
        </w:numPr>
        <w:spacing w:before="100" w:beforeAutospacing="1" w:after="0" w:line="240" w:lineRule="auto"/>
        <w:contextualSpacing/>
        <w:rPr>
          <w:rFonts w:asciiTheme="minorHAnsi" w:eastAsia="Times New Roman" w:hAnsiTheme="minorHAnsi" w:cs="Calibri"/>
          <w:color w:val="000000"/>
        </w:rPr>
      </w:pPr>
      <w:r w:rsidRPr="00A82396">
        <w:rPr>
          <w:rFonts w:asciiTheme="minorHAnsi" w:eastAsia="Times New Roman" w:hAnsiTheme="minorHAnsi" w:cs="Calibri"/>
          <w:color w:val="000000"/>
        </w:rPr>
        <w:t>Covers 58% of average weekly wages (maximum weekly amount applies, please contact HR for current maximum weekly amount)</w:t>
      </w:r>
    </w:p>
    <w:p w:rsidR="00260293" w:rsidRPr="00A82396" w:rsidRDefault="00260293" w:rsidP="00260293">
      <w:pPr>
        <w:numPr>
          <w:ilvl w:val="0"/>
          <w:numId w:val="2"/>
        </w:numPr>
        <w:spacing w:before="100" w:beforeAutospacing="1" w:after="0" w:line="240" w:lineRule="auto"/>
        <w:contextualSpacing/>
        <w:rPr>
          <w:rFonts w:asciiTheme="minorHAnsi" w:eastAsia="Times New Roman" w:hAnsiTheme="minorHAnsi" w:cs="Calibri"/>
          <w:color w:val="000000"/>
        </w:rPr>
      </w:pPr>
      <w:r w:rsidRPr="00A82396">
        <w:rPr>
          <w:rFonts w:asciiTheme="minorHAnsi" w:eastAsia="Times New Roman" w:hAnsiTheme="minorHAnsi" w:cs="Calibri"/>
          <w:bCs/>
          <w:color w:val="000000"/>
        </w:rPr>
        <w:t>Seven day waiting period</w:t>
      </w:r>
      <w:r w:rsidRPr="00A82396">
        <w:rPr>
          <w:rFonts w:asciiTheme="minorHAnsi" w:eastAsia="Times New Roman" w:hAnsiTheme="minorHAnsi" w:cs="Calibri"/>
          <w:color w:val="000000"/>
        </w:rPr>
        <w:t xml:space="preserve"> </w:t>
      </w:r>
    </w:p>
    <w:p w:rsidR="00260293" w:rsidRPr="00A82396" w:rsidRDefault="00260293" w:rsidP="00260293">
      <w:pPr>
        <w:numPr>
          <w:ilvl w:val="0"/>
          <w:numId w:val="2"/>
        </w:numPr>
        <w:spacing w:before="100" w:beforeAutospacing="1" w:after="0" w:line="240" w:lineRule="auto"/>
        <w:contextualSpacing/>
        <w:rPr>
          <w:rFonts w:asciiTheme="minorHAnsi" w:eastAsia="Times New Roman" w:hAnsiTheme="minorHAnsi" w:cs="Calibri"/>
          <w:color w:val="000000"/>
        </w:rPr>
      </w:pPr>
      <w:r w:rsidRPr="00A82396">
        <w:rPr>
          <w:rFonts w:asciiTheme="minorHAnsi" w:eastAsia="Times New Roman" w:hAnsiTheme="minorHAnsi" w:cs="Calibri"/>
          <w:bCs/>
          <w:color w:val="000000"/>
        </w:rPr>
        <w:t>Maximum of 26 weeks of benefits paid during a benefit year</w:t>
      </w:r>
      <w:r w:rsidRPr="00A82396">
        <w:rPr>
          <w:rFonts w:asciiTheme="minorHAnsi" w:eastAsia="Times New Roman" w:hAnsiTheme="minorHAnsi" w:cs="Calibri"/>
          <w:color w:val="000000"/>
        </w:rPr>
        <w:t xml:space="preserve"> (p</w:t>
      </w:r>
      <w:r w:rsidRPr="00A82396">
        <w:rPr>
          <w:rFonts w:asciiTheme="minorHAnsi" w:eastAsia="Times New Roman" w:hAnsiTheme="minorHAnsi" w:cs="Calibri"/>
          <w:bCs/>
          <w:color w:val="000000"/>
        </w:rPr>
        <w:t>lease refer to benefit summary or contact HR for more information)</w:t>
      </w:r>
    </w:p>
    <w:p w:rsidR="00260293" w:rsidRPr="00A82396" w:rsidRDefault="00260293" w:rsidP="00260293">
      <w:pPr>
        <w:spacing w:before="100" w:beforeAutospacing="1" w:after="0" w:line="240" w:lineRule="auto"/>
        <w:ind w:left="90"/>
        <w:rPr>
          <w:rFonts w:asciiTheme="minorHAnsi" w:eastAsia="Times New Roman" w:hAnsiTheme="minorHAnsi" w:cs="Calibri"/>
          <w:color w:val="000000"/>
        </w:rPr>
      </w:pPr>
      <w:r w:rsidRPr="00A82396">
        <w:rPr>
          <w:rFonts w:asciiTheme="minorHAnsi" w:eastAsia="Times New Roman" w:hAnsiTheme="minorHAnsi" w:cs="Calibri"/>
          <w:b/>
          <w:bCs/>
          <w:color w:val="0000FF"/>
          <w:u w:val="single"/>
        </w:rPr>
        <w:t>Paid Leave</w:t>
      </w:r>
    </w:p>
    <w:p w:rsidR="00260293" w:rsidRPr="00A82396" w:rsidRDefault="00260293" w:rsidP="00260293">
      <w:pPr>
        <w:numPr>
          <w:ilvl w:val="0"/>
          <w:numId w:val="3"/>
        </w:numPr>
        <w:spacing w:before="100" w:beforeAutospacing="1" w:after="0" w:line="240" w:lineRule="auto"/>
        <w:contextualSpacing/>
        <w:rPr>
          <w:rFonts w:asciiTheme="minorHAnsi" w:eastAsia="Times New Roman" w:hAnsiTheme="minorHAnsi" w:cs="Calibri"/>
          <w:color w:val="000000"/>
        </w:rPr>
      </w:pPr>
      <w:r w:rsidRPr="00A82396">
        <w:rPr>
          <w:rFonts w:asciiTheme="minorHAnsi" w:eastAsia="Times New Roman" w:hAnsiTheme="minorHAnsi" w:cs="Calibri"/>
          <w:bCs/>
          <w:color w:val="000000"/>
        </w:rPr>
        <w:t>10 PTO days</w:t>
      </w:r>
    </w:p>
    <w:p w:rsidR="00260293" w:rsidRDefault="00260293" w:rsidP="00260293">
      <w:pPr>
        <w:numPr>
          <w:ilvl w:val="0"/>
          <w:numId w:val="3"/>
        </w:numPr>
        <w:spacing w:before="100" w:beforeAutospacing="1" w:after="0" w:line="240" w:lineRule="auto"/>
        <w:contextualSpacing/>
        <w:rPr>
          <w:rFonts w:asciiTheme="minorHAnsi" w:eastAsia="Times New Roman" w:hAnsiTheme="minorHAnsi" w:cs="Calibri"/>
        </w:rPr>
      </w:pPr>
      <w:r w:rsidRPr="00A82396">
        <w:rPr>
          <w:rFonts w:asciiTheme="minorHAnsi" w:eastAsia="Times New Roman" w:hAnsiTheme="minorHAnsi" w:cs="Calibri"/>
          <w:bCs/>
        </w:rPr>
        <w:t xml:space="preserve">Paid Hawaii state holidays </w:t>
      </w:r>
    </w:p>
    <w:p w:rsidR="00260293" w:rsidRPr="00E54855" w:rsidRDefault="00260293" w:rsidP="00260293">
      <w:pPr>
        <w:numPr>
          <w:ilvl w:val="0"/>
          <w:numId w:val="3"/>
        </w:numPr>
        <w:spacing w:before="100" w:beforeAutospacing="1" w:after="0" w:line="240" w:lineRule="auto"/>
        <w:contextualSpacing/>
        <w:rPr>
          <w:rFonts w:asciiTheme="minorHAnsi" w:eastAsia="Times New Roman" w:hAnsiTheme="minorHAnsi" w:cs="Calibri"/>
        </w:rPr>
      </w:pPr>
      <w:hyperlink r:id="rId7" w:history="1">
        <w:r w:rsidRPr="00E679A9">
          <w:rPr>
            <w:rStyle w:val="Hyperlink"/>
          </w:rPr>
          <w:t>http://dhrd.hawaii.gov/wp-content/uploads/2012/10/State-Holidays-2016-2017.pdf</w:t>
        </w:r>
      </w:hyperlink>
    </w:p>
    <w:p w:rsidR="00260293" w:rsidRPr="00E54855" w:rsidRDefault="00260293" w:rsidP="00260293">
      <w:pPr>
        <w:spacing w:before="100" w:beforeAutospacing="1" w:after="0" w:line="240" w:lineRule="auto"/>
        <w:ind w:left="360"/>
        <w:contextualSpacing/>
        <w:rPr>
          <w:rFonts w:asciiTheme="minorHAnsi" w:eastAsia="Times New Roman" w:hAnsiTheme="minorHAnsi" w:cs="Calibri"/>
        </w:rPr>
      </w:pPr>
    </w:p>
    <w:p w:rsidR="00260293" w:rsidRPr="00A82396" w:rsidRDefault="00260293" w:rsidP="00260293">
      <w:pPr>
        <w:spacing w:before="100" w:beforeAutospacing="1" w:after="0" w:line="240" w:lineRule="auto"/>
        <w:ind w:left="90"/>
        <w:rPr>
          <w:rFonts w:asciiTheme="minorHAnsi" w:eastAsia="Times New Roman" w:hAnsiTheme="minorHAnsi" w:cs="Calibri"/>
          <w:color w:val="000000"/>
        </w:rPr>
      </w:pPr>
      <w:r w:rsidRPr="00A82396">
        <w:rPr>
          <w:rFonts w:asciiTheme="minorHAnsi" w:eastAsia="Times New Roman" w:hAnsiTheme="minorHAnsi" w:cs="Calibri"/>
          <w:b/>
          <w:bCs/>
          <w:color w:val="0000FF"/>
          <w:u w:val="single"/>
        </w:rPr>
        <w:t>Additional Intern Benefits</w:t>
      </w:r>
    </w:p>
    <w:p w:rsidR="00260293" w:rsidRPr="00A82396" w:rsidRDefault="00260293" w:rsidP="00260293">
      <w:pPr>
        <w:numPr>
          <w:ilvl w:val="0"/>
          <w:numId w:val="5"/>
        </w:numPr>
        <w:spacing w:before="100" w:beforeAutospacing="1" w:after="0" w:line="240" w:lineRule="auto"/>
        <w:contextualSpacing/>
        <w:rPr>
          <w:rFonts w:asciiTheme="minorHAnsi" w:eastAsia="Times New Roman" w:hAnsiTheme="minorHAnsi" w:cs="Calibri"/>
        </w:rPr>
      </w:pPr>
      <w:r w:rsidRPr="00A82396">
        <w:rPr>
          <w:rFonts w:asciiTheme="minorHAnsi" w:eastAsia="Times New Roman" w:hAnsiTheme="minorHAnsi" w:cs="Calibri"/>
          <w:bCs/>
        </w:rPr>
        <w:t>Worker’s compensation is provided as required by state law</w:t>
      </w:r>
    </w:p>
    <w:p w:rsidR="00260293" w:rsidRPr="00A82396" w:rsidRDefault="00260293" w:rsidP="00260293">
      <w:pPr>
        <w:numPr>
          <w:ilvl w:val="0"/>
          <w:numId w:val="5"/>
        </w:numPr>
        <w:spacing w:before="100" w:beforeAutospacing="1" w:after="0" w:line="240" w:lineRule="auto"/>
        <w:contextualSpacing/>
        <w:rPr>
          <w:rFonts w:asciiTheme="minorHAnsi" w:eastAsia="Times New Roman" w:hAnsiTheme="minorHAnsi" w:cs="Calibri"/>
        </w:rPr>
      </w:pPr>
      <w:r w:rsidRPr="00A82396">
        <w:rPr>
          <w:rFonts w:asciiTheme="minorHAnsi" w:eastAsia="Times New Roman" w:hAnsiTheme="minorHAnsi" w:cs="Calibri"/>
          <w:bCs/>
        </w:rPr>
        <w:t xml:space="preserve">Reimbursement is provided for the purchase of student liability insurance through the APA Trust. </w:t>
      </w:r>
      <w:hyperlink r:id="rId8" w:history="1">
        <w:r w:rsidRPr="00A82396">
          <w:rPr>
            <w:rStyle w:val="Hyperlink"/>
            <w:rFonts w:asciiTheme="minorHAnsi" w:eastAsia="Times New Roman" w:hAnsiTheme="minorHAnsi" w:cs="Calibri"/>
            <w:bCs/>
          </w:rPr>
          <w:t>http://www.apait.org/apait/products/studentliability/</w:t>
        </w:r>
      </w:hyperlink>
      <w:r w:rsidRPr="00A82396">
        <w:rPr>
          <w:rFonts w:asciiTheme="minorHAnsi" w:eastAsia="Times New Roman" w:hAnsiTheme="minorHAnsi" w:cs="Calibri"/>
          <w:bCs/>
        </w:rPr>
        <w:t xml:space="preserve"> </w:t>
      </w:r>
    </w:p>
    <w:p w:rsidR="00260293" w:rsidRPr="00A82396" w:rsidRDefault="00260293" w:rsidP="00260293">
      <w:pPr>
        <w:numPr>
          <w:ilvl w:val="0"/>
          <w:numId w:val="5"/>
        </w:numPr>
        <w:spacing w:before="100" w:beforeAutospacing="1" w:after="0" w:line="240" w:lineRule="auto"/>
        <w:contextualSpacing/>
        <w:rPr>
          <w:rFonts w:asciiTheme="minorHAnsi" w:eastAsia="Times New Roman" w:hAnsiTheme="minorHAnsi" w:cs="Calibri"/>
        </w:rPr>
      </w:pPr>
      <w:r w:rsidRPr="00A82396">
        <w:rPr>
          <w:rFonts w:asciiTheme="minorHAnsi" w:eastAsia="Times New Roman" w:hAnsiTheme="minorHAnsi" w:cs="Calibri"/>
          <w:bCs/>
        </w:rPr>
        <w:t>Travel costs are covered for intern participation in orientation, minor rotations, and graduation</w:t>
      </w:r>
      <w:r w:rsidRPr="00A82396">
        <w:rPr>
          <w:rFonts w:asciiTheme="minorHAnsi" w:eastAsia="Times New Roman" w:hAnsiTheme="minorHAnsi" w:cs="Calibri"/>
        </w:rPr>
        <w:br/>
      </w:r>
    </w:p>
    <w:p w:rsidR="00260293" w:rsidRPr="00A82396" w:rsidRDefault="00260293" w:rsidP="00260293">
      <w:pPr>
        <w:rPr>
          <w:rFonts w:asciiTheme="minorHAnsi" w:hAnsiTheme="minorHAnsi"/>
        </w:rPr>
      </w:pPr>
    </w:p>
    <w:p w:rsidR="00260293" w:rsidRPr="00A82396" w:rsidRDefault="00260293" w:rsidP="00260293">
      <w:pPr>
        <w:rPr>
          <w:rFonts w:asciiTheme="minorHAnsi" w:hAnsiTheme="minorHAnsi"/>
        </w:rPr>
      </w:pPr>
    </w:p>
    <w:p w:rsidR="00260293" w:rsidRPr="00A82396" w:rsidRDefault="00260293" w:rsidP="00260293">
      <w:pPr>
        <w:rPr>
          <w:rFonts w:asciiTheme="minorHAnsi" w:hAnsiTheme="minorHAnsi"/>
        </w:rPr>
      </w:pPr>
    </w:p>
    <w:p w:rsidR="00260293" w:rsidRDefault="00260293" w:rsidP="00260293"/>
    <w:p w:rsidR="00260293" w:rsidRDefault="00260293" w:rsidP="00260293"/>
    <w:p w:rsidR="00260293" w:rsidRPr="00094A4C" w:rsidRDefault="00260293" w:rsidP="00260293"/>
    <w:p w:rsidR="009E40FF" w:rsidRDefault="009E40FF"/>
    <w:sectPr w:rsidR="009E40FF" w:rsidSect="00260293">
      <w:pgSz w:w="12240" w:h="15840" w:code="1"/>
      <w:pgMar w:top="90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D42C1"/>
    <w:multiLevelType w:val="multilevel"/>
    <w:tmpl w:val="4242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D42DA2"/>
    <w:multiLevelType w:val="multilevel"/>
    <w:tmpl w:val="C6A8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B462FC"/>
    <w:multiLevelType w:val="hybridMultilevel"/>
    <w:tmpl w:val="57D63F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66396793"/>
    <w:multiLevelType w:val="multilevel"/>
    <w:tmpl w:val="87C2B5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95C13B4"/>
    <w:multiLevelType w:val="hybridMultilevel"/>
    <w:tmpl w:val="FA36B06C"/>
    <w:lvl w:ilvl="0" w:tplc="C97ACF5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293"/>
    <w:rsid w:val="00260293"/>
    <w:rsid w:val="009E40FF"/>
    <w:rsid w:val="00DD73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01D8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293"/>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73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73E5"/>
    <w:rPr>
      <w:rFonts w:ascii="Lucida Grande" w:hAnsi="Lucida Grande" w:cs="Lucida Grande"/>
      <w:sz w:val="18"/>
      <w:szCs w:val="18"/>
    </w:rPr>
  </w:style>
  <w:style w:type="character" w:styleId="Hyperlink">
    <w:name w:val="Hyperlink"/>
    <w:basedOn w:val="DefaultParagraphFont"/>
    <w:uiPriority w:val="99"/>
    <w:unhideWhenUsed/>
    <w:rsid w:val="00260293"/>
    <w:rPr>
      <w:color w:val="2D4A9B"/>
      <w:u w:val="none"/>
    </w:rPr>
  </w:style>
  <w:style w:type="paragraph" w:styleId="ListParagraph">
    <w:name w:val="List Paragraph"/>
    <w:basedOn w:val="Normal"/>
    <w:uiPriority w:val="34"/>
    <w:qFormat/>
    <w:rsid w:val="00260293"/>
    <w:pPr>
      <w:ind w:left="720"/>
      <w:contextualSpacing/>
    </w:pPr>
    <w:rPr>
      <w:rFonts w:asciiTheme="minorHAnsi" w:eastAsiaTheme="minorHAnsi" w:hAnsiTheme="minorHAnsi" w:cstheme="minorBidi"/>
    </w:rPr>
  </w:style>
  <w:style w:type="paragraph" w:customStyle="1" w:styleId="Default">
    <w:name w:val="Default"/>
    <w:rsid w:val="00260293"/>
    <w:pPr>
      <w:autoSpaceDE w:val="0"/>
      <w:autoSpaceDN w:val="0"/>
      <w:adjustRightInd w:val="0"/>
    </w:pPr>
    <w:rPr>
      <w:rFonts w:ascii="Arial" w:eastAsia="Calibri" w:hAnsi="Arial" w:cs="Arial"/>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293"/>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73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73E5"/>
    <w:rPr>
      <w:rFonts w:ascii="Lucida Grande" w:hAnsi="Lucida Grande" w:cs="Lucida Grande"/>
      <w:sz w:val="18"/>
      <w:szCs w:val="18"/>
    </w:rPr>
  </w:style>
  <w:style w:type="character" w:styleId="Hyperlink">
    <w:name w:val="Hyperlink"/>
    <w:basedOn w:val="DefaultParagraphFont"/>
    <w:uiPriority w:val="99"/>
    <w:unhideWhenUsed/>
    <w:rsid w:val="00260293"/>
    <w:rPr>
      <w:color w:val="2D4A9B"/>
      <w:u w:val="none"/>
    </w:rPr>
  </w:style>
  <w:style w:type="paragraph" w:styleId="ListParagraph">
    <w:name w:val="List Paragraph"/>
    <w:basedOn w:val="Normal"/>
    <w:uiPriority w:val="34"/>
    <w:qFormat/>
    <w:rsid w:val="00260293"/>
    <w:pPr>
      <w:ind w:left="720"/>
      <w:contextualSpacing/>
    </w:pPr>
    <w:rPr>
      <w:rFonts w:asciiTheme="minorHAnsi" w:eastAsiaTheme="minorHAnsi" w:hAnsiTheme="minorHAnsi" w:cstheme="minorBidi"/>
    </w:rPr>
  </w:style>
  <w:style w:type="paragraph" w:customStyle="1" w:styleId="Default">
    <w:name w:val="Default"/>
    <w:rsid w:val="00260293"/>
    <w:pPr>
      <w:autoSpaceDE w:val="0"/>
      <w:autoSpaceDN w:val="0"/>
      <w:adjustRightInd w:val="0"/>
    </w:pPr>
    <w:rPr>
      <w:rFonts w:ascii="Arial" w:eastAsia="Calibri"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thickey@wiche.edu" TargetMode="External"/><Relationship Id="rId7" Type="http://schemas.openxmlformats.org/officeDocument/2006/relationships/hyperlink" Target="http://dhrd.hawaii.gov/wp-content/uploads/2012/10/State-Holidays-2016-2017.pdf" TargetMode="External"/><Relationship Id="rId8" Type="http://schemas.openxmlformats.org/officeDocument/2006/relationships/hyperlink" Target="http://www.apait.org/apait/products/studentliability/"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839</Words>
  <Characters>4788</Characters>
  <Application>Microsoft Macintosh Word</Application>
  <DocSecurity>0</DocSecurity>
  <Lines>39</Lines>
  <Paragraphs>11</Paragraphs>
  <ScaleCrop>false</ScaleCrop>
  <Company/>
  <LinksUpToDate>false</LinksUpToDate>
  <CharactersWithSpaces>5616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Ross</dc:creator>
  <cp:keywords/>
  <dc:description/>
  <cp:lastModifiedBy>Sarah Ross</cp:lastModifiedBy>
  <cp:revision>1</cp:revision>
  <dcterms:created xsi:type="dcterms:W3CDTF">2016-04-26T15:43:00Z</dcterms:created>
  <dcterms:modified xsi:type="dcterms:W3CDTF">2016-04-26T15:44:00Z</dcterms:modified>
</cp:coreProperties>
</file>