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63A" w:rsidRPr="0018363A" w:rsidRDefault="0018363A" w:rsidP="0018363A">
      <w:pPr>
        <w:spacing w:after="0"/>
        <w:jc w:val="center"/>
        <w:rPr>
          <w:rFonts w:ascii="Cambria" w:eastAsia="Times New Roman" w:hAnsi="Cambria" w:cs="Times New Roman"/>
          <w:b/>
          <w:sz w:val="24"/>
          <w:szCs w:val="24"/>
        </w:rPr>
      </w:pPr>
      <w:r w:rsidRPr="0018363A">
        <w:rPr>
          <w:rFonts w:ascii="Cambria" w:eastAsia="Times New Roman" w:hAnsi="Cambria" w:cs="Times New Roman"/>
          <w:b/>
          <w:sz w:val="24"/>
          <w:szCs w:val="24"/>
        </w:rPr>
        <w:t>NV-PIC Family &amp; Medical Leave Policy</w:t>
      </w:r>
    </w:p>
    <w:p w:rsidR="0018363A" w:rsidRPr="0018363A" w:rsidRDefault="0018363A" w:rsidP="0018363A">
      <w:pPr>
        <w:spacing w:after="0"/>
        <w:rPr>
          <w:rFonts w:ascii="Cambria" w:eastAsia="Times New Roman" w:hAnsi="Cambria" w:cs="Times New Roman"/>
          <w:sz w:val="24"/>
          <w:szCs w:val="24"/>
        </w:rPr>
      </w:pPr>
    </w:p>
    <w:p w:rsidR="0018363A" w:rsidRPr="0018363A" w:rsidRDefault="0018363A" w:rsidP="0018363A">
      <w:pPr>
        <w:numPr>
          <w:ilvl w:val="0"/>
          <w:numId w:val="2"/>
        </w:numPr>
        <w:spacing w:after="0"/>
        <w:contextualSpacing/>
        <w:rPr>
          <w:rFonts w:ascii="Calibri" w:eastAsia="Times New Roman" w:hAnsi="Calibri" w:cs="Times New Roman"/>
        </w:rPr>
      </w:pPr>
      <w:bookmarkStart w:id="0" w:name="_GoBack"/>
      <w:bookmarkEnd w:id="0"/>
      <w:r w:rsidRPr="0018363A">
        <w:rPr>
          <w:rFonts w:ascii="Calibri" w:eastAsia="Times New Roman" w:hAnsi="Calibri" w:cs="Times New Roman"/>
          <w:b/>
        </w:rPr>
        <w:t>Family &amp; Medical Leave:</w:t>
      </w:r>
      <w:r w:rsidRPr="0018363A">
        <w:rPr>
          <w:rFonts w:ascii="Calibri" w:eastAsia="Times New Roman" w:hAnsi="Calibri" w:cs="Times New Roman"/>
        </w:rPr>
        <w:t xml:space="preserve"> WICHE provides interns with up to 12 work weeks of unpaid, job-protected leave within a 12-month period and provides health benefits during the leave (up to 12 weeks). Unpaid leave may be granted in the following circumstances: intern serious health condition or pregnancy-related disability, father’s attendance at birth of child, parent’s care of newborn, if completed within 12 months following birth of child, placement of a child with intern for adoption or foster care, serious health condition of intern’s child under 18 years, or older child if disabled, or serious health condition of staff member’s spouse or parent.</w:t>
      </w:r>
    </w:p>
    <w:p w:rsidR="0018363A" w:rsidRPr="0018363A" w:rsidRDefault="0018363A" w:rsidP="0018363A">
      <w:pPr>
        <w:spacing w:after="0"/>
        <w:ind w:left="720"/>
        <w:contextualSpacing/>
        <w:rPr>
          <w:rFonts w:ascii="Calibri" w:eastAsia="Times New Roman" w:hAnsi="Calibri" w:cs="Times New Roman"/>
        </w:rPr>
      </w:pPr>
    </w:p>
    <w:p w:rsidR="0018363A" w:rsidRPr="0018363A" w:rsidRDefault="0018363A" w:rsidP="0018363A">
      <w:pPr>
        <w:numPr>
          <w:ilvl w:val="0"/>
          <w:numId w:val="2"/>
        </w:numPr>
        <w:spacing w:after="0"/>
        <w:contextualSpacing/>
        <w:rPr>
          <w:rFonts w:ascii="Calibri" w:eastAsia="Times New Roman" w:hAnsi="Calibri" w:cs="Times New Roman"/>
        </w:rPr>
      </w:pPr>
      <w:r w:rsidRPr="0018363A">
        <w:rPr>
          <w:rFonts w:ascii="Calibri" w:eastAsia="Times New Roman" w:hAnsi="Calibri" w:cs="Times New Roman"/>
          <w:b/>
        </w:rPr>
        <w:t>Requesting Leave:</w:t>
      </w:r>
      <w:r w:rsidRPr="0018363A">
        <w:rPr>
          <w:rFonts w:ascii="Calibri" w:eastAsia="Times New Roman" w:hAnsi="Calibri" w:cs="Times New Roman"/>
        </w:rPr>
        <w:t xml:space="preserve"> Whenever possible, interns must notify WICHE Human Resources at least 30 days prior to the leave of absence. Requests for leave should be made in writing to Human Resources, stating the reason for the leave, the starting date, and the planned date for return to work. </w:t>
      </w:r>
    </w:p>
    <w:p w:rsidR="0018363A" w:rsidRPr="0018363A" w:rsidRDefault="0018363A" w:rsidP="0018363A">
      <w:pPr>
        <w:spacing w:after="0"/>
        <w:ind w:left="720"/>
        <w:contextualSpacing/>
        <w:rPr>
          <w:rFonts w:ascii="Calibri" w:eastAsia="Times New Roman" w:hAnsi="Calibri" w:cs="Times New Roman"/>
        </w:rPr>
      </w:pPr>
    </w:p>
    <w:p w:rsidR="0018363A" w:rsidRPr="0018363A" w:rsidRDefault="0018363A" w:rsidP="0018363A">
      <w:pPr>
        <w:numPr>
          <w:ilvl w:val="0"/>
          <w:numId w:val="2"/>
        </w:numPr>
        <w:spacing w:after="0"/>
        <w:contextualSpacing/>
        <w:rPr>
          <w:rFonts w:ascii="Calibri" w:eastAsia="Times New Roman" w:hAnsi="Calibri" w:cs="Times New Roman"/>
        </w:rPr>
      </w:pPr>
      <w:r w:rsidRPr="0018363A">
        <w:rPr>
          <w:rFonts w:ascii="Calibri" w:eastAsia="Times New Roman" w:hAnsi="Calibri" w:cs="Times New Roman"/>
          <w:b/>
        </w:rPr>
        <w:t>Disability Insurance:</w:t>
      </w:r>
      <w:r w:rsidRPr="0018363A">
        <w:rPr>
          <w:rFonts w:ascii="Calibri" w:eastAsia="Times New Roman" w:hAnsi="Calibri" w:cs="Times New Roman"/>
        </w:rPr>
        <w:t xml:space="preserve"> During maternity leave, interns may be granted up to 6 weeks (for vaginal delivery) or up to 8 weeks (for C-section delivery) of temporary disability insurance payment. This amounts to 60% of average weekly wages during the designated time period</w:t>
      </w:r>
      <w:r w:rsidRPr="0018363A">
        <w:rPr>
          <w:rFonts w:ascii="Cambria" w:eastAsia="Times New Roman" w:hAnsi="Cambria" w:cs="Times New Roman"/>
          <w:sz w:val="16"/>
          <w:szCs w:val="16"/>
        </w:rPr>
        <w:t>.</w:t>
      </w:r>
      <w:r w:rsidRPr="0018363A">
        <w:rPr>
          <w:rFonts w:ascii="Calibri" w:eastAsia="Times New Roman" w:hAnsi="Calibri" w:cs="Times New Roman"/>
        </w:rPr>
        <w:t xml:space="preserve"> Disability payments for other types of medical leave also </w:t>
      </w:r>
      <w:r w:rsidR="002368C3">
        <w:rPr>
          <w:rFonts w:ascii="Calibri" w:eastAsia="Times New Roman" w:hAnsi="Calibri" w:cs="Times New Roman"/>
        </w:rPr>
        <w:t xml:space="preserve">are </w:t>
      </w:r>
      <w:r w:rsidRPr="0018363A">
        <w:rPr>
          <w:rFonts w:ascii="Calibri" w:eastAsia="Times New Roman" w:hAnsi="Calibri" w:cs="Times New Roman"/>
        </w:rPr>
        <w:t xml:space="preserve">paid at 60% and length of disability payments vary depending on the medical condition and when the doctor releases the patient to return to work.  A maximum of 173 days is allowed under the short-term disability insurance plan.  </w:t>
      </w:r>
    </w:p>
    <w:p w:rsidR="0018363A" w:rsidRPr="0018363A" w:rsidRDefault="0018363A" w:rsidP="0018363A">
      <w:pPr>
        <w:spacing w:after="0"/>
        <w:ind w:left="720"/>
        <w:contextualSpacing/>
        <w:rPr>
          <w:rFonts w:ascii="Calibri" w:eastAsia="Times New Roman" w:hAnsi="Calibri" w:cs="Times New Roman"/>
        </w:rPr>
      </w:pPr>
    </w:p>
    <w:p w:rsidR="0018363A" w:rsidRPr="0018363A" w:rsidRDefault="0018363A" w:rsidP="0018363A">
      <w:pPr>
        <w:numPr>
          <w:ilvl w:val="0"/>
          <w:numId w:val="2"/>
        </w:numPr>
        <w:spacing w:after="0"/>
        <w:contextualSpacing/>
        <w:rPr>
          <w:rFonts w:ascii="Calibri" w:eastAsia="Times New Roman" w:hAnsi="Calibri" w:cs="Times New Roman"/>
        </w:rPr>
      </w:pPr>
      <w:r w:rsidRPr="0018363A">
        <w:rPr>
          <w:rFonts w:ascii="Calibri" w:eastAsia="Times New Roman" w:hAnsi="Calibri" w:cs="Times New Roman"/>
          <w:b/>
        </w:rPr>
        <w:t xml:space="preserve">Health Insurance: </w:t>
      </w:r>
      <w:r w:rsidRPr="0018363A">
        <w:rPr>
          <w:rFonts w:ascii="Calibri" w:eastAsia="Times New Roman" w:hAnsi="Calibri" w:cs="Times New Roman"/>
        </w:rPr>
        <w:t>If an intern is currently covered by WICHE’s insurance plans, these benefits continue for interns on family or medical leave. WICHE will pay for intern (and any eligible dependents’) insurance premiums while on unpaid leave. If the intern is able but does not return to work after the expiration of the leave, the intern will be required to reimburse WICHE for payment of insurance premiums during the leave. Children may be added to the intern’s health insurance policy if coverage is elected within 30 days of the birth or adoption.</w:t>
      </w:r>
    </w:p>
    <w:p w:rsidR="0018363A" w:rsidRPr="0018363A" w:rsidRDefault="0018363A" w:rsidP="0018363A">
      <w:pPr>
        <w:spacing w:after="0"/>
        <w:ind w:left="720"/>
        <w:contextualSpacing/>
        <w:rPr>
          <w:rFonts w:ascii="Calibri" w:eastAsia="Times New Roman" w:hAnsi="Calibri" w:cs="Times New Roman"/>
        </w:rPr>
      </w:pPr>
    </w:p>
    <w:p w:rsidR="0018363A" w:rsidRPr="0018363A" w:rsidRDefault="0018363A" w:rsidP="0018363A">
      <w:pPr>
        <w:numPr>
          <w:ilvl w:val="0"/>
          <w:numId w:val="2"/>
        </w:numPr>
        <w:spacing w:after="0"/>
        <w:contextualSpacing/>
        <w:rPr>
          <w:rFonts w:ascii="Calibri" w:eastAsia="Times New Roman" w:hAnsi="Calibri" w:cs="Times New Roman"/>
        </w:rPr>
      </w:pPr>
      <w:r w:rsidRPr="0018363A">
        <w:rPr>
          <w:rFonts w:ascii="Calibri" w:eastAsia="Times New Roman" w:hAnsi="Calibri" w:cs="Times New Roman"/>
          <w:b/>
        </w:rPr>
        <w:t>Return to Work:</w:t>
      </w:r>
      <w:r w:rsidRPr="0018363A">
        <w:rPr>
          <w:rFonts w:ascii="Calibri" w:eastAsia="Times New Roman" w:hAnsi="Calibri" w:cs="Times New Roman"/>
        </w:rPr>
        <w:t xml:space="preserve"> Interns must contact WICHE Human Resources at least two days before their first day of return from leave. If the leave is for an intern’ own serious health condition, the intern must provide medical certification verifying ability to return to work. Failure to return to work on the day after the expiration of leave will normally result in termination of employment.  If the intern is unable to return to work, the intern must provide medical certification no less than two days before the anticipated return date.</w:t>
      </w:r>
    </w:p>
    <w:p w:rsidR="0018363A" w:rsidRPr="0018363A" w:rsidRDefault="0018363A" w:rsidP="0018363A">
      <w:pPr>
        <w:spacing w:after="0"/>
        <w:ind w:left="720"/>
        <w:contextualSpacing/>
        <w:rPr>
          <w:rFonts w:ascii="Calibri" w:eastAsia="Times New Roman" w:hAnsi="Calibri" w:cs="Times New Roman"/>
        </w:rPr>
      </w:pPr>
    </w:p>
    <w:p w:rsidR="0018363A" w:rsidRPr="0018363A" w:rsidRDefault="0018363A" w:rsidP="0018363A">
      <w:pPr>
        <w:numPr>
          <w:ilvl w:val="0"/>
          <w:numId w:val="2"/>
        </w:numPr>
        <w:spacing w:after="0"/>
        <w:contextualSpacing/>
        <w:rPr>
          <w:rFonts w:ascii="Calibri" w:eastAsia="Times New Roman" w:hAnsi="Calibri" w:cs="Times New Roman"/>
        </w:rPr>
      </w:pPr>
      <w:r w:rsidRPr="0018363A">
        <w:rPr>
          <w:rFonts w:ascii="Calibri" w:eastAsia="Times New Roman" w:hAnsi="Calibri" w:cs="Times New Roman"/>
          <w:b/>
        </w:rPr>
        <w:t>Hours Supplementation:</w:t>
      </w:r>
      <w:r w:rsidRPr="0018363A">
        <w:rPr>
          <w:rFonts w:ascii="Calibri" w:eastAsia="Times New Roman" w:hAnsi="Calibri" w:cs="Times New Roman"/>
        </w:rPr>
        <w:t xml:space="preserve"> Interns are required to complete a 12 month, 2000 hour internship. The number of workdays taken off during a leave of absence will be added as an extension to the training year. The intern should work closely with their site supervisor and the NV-PIC Training Director to develop a plan to complete all required training experiences upon return from leave. The intern must complete the full 12 months of training, achieve 2000 training hours, and receive satisfactory ratings on the final Intern Evaluation Form in order to complete the internship. </w:t>
      </w:r>
    </w:p>
    <w:p w:rsidR="0018363A" w:rsidRPr="0018363A" w:rsidRDefault="0018363A" w:rsidP="0018363A">
      <w:pPr>
        <w:spacing w:after="0"/>
        <w:ind w:left="720"/>
        <w:contextualSpacing/>
        <w:rPr>
          <w:rFonts w:ascii="Calibri" w:eastAsia="Times New Roman" w:hAnsi="Calibri" w:cs="Times New Roman"/>
        </w:rPr>
      </w:pPr>
    </w:p>
    <w:p w:rsidR="0018363A" w:rsidRPr="0018363A" w:rsidRDefault="0018363A" w:rsidP="0018363A">
      <w:pPr>
        <w:numPr>
          <w:ilvl w:val="0"/>
          <w:numId w:val="2"/>
        </w:numPr>
        <w:spacing w:after="0"/>
        <w:contextualSpacing/>
        <w:rPr>
          <w:rFonts w:ascii="Calibri" w:eastAsia="Times New Roman" w:hAnsi="Calibri" w:cs="Times New Roman"/>
        </w:rPr>
      </w:pPr>
      <w:r w:rsidRPr="0018363A">
        <w:rPr>
          <w:rFonts w:ascii="Calibri" w:eastAsia="Times New Roman" w:hAnsi="Calibri" w:cs="Times New Roman"/>
          <w:b/>
        </w:rPr>
        <w:lastRenderedPageBreak/>
        <w:t>Maximum Length:</w:t>
      </w:r>
      <w:r w:rsidRPr="0018363A">
        <w:rPr>
          <w:rFonts w:ascii="Calibri" w:eastAsia="Times New Roman" w:hAnsi="Calibri" w:cs="Times New Roman"/>
        </w:rPr>
        <w:t xml:space="preserve"> Interns must complete all requirements for completion of the internship no later than 18 months after the start of the internship.</w:t>
      </w:r>
    </w:p>
    <w:p w:rsidR="0018363A" w:rsidRPr="0018363A" w:rsidRDefault="0018363A" w:rsidP="0018363A">
      <w:pPr>
        <w:spacing w:after="0"/>
        <w:rPr>
          <w:rFonts w:ascii="Calibri" w:eastAsia="Times New Roman" w:hAnsi="Calibri" w:cs="Times New Roman"/>
        </w:rPr>
      </w:pPr>
    </w:p>
    <w:p w:rsidR="0018363A" w:rsidRPr="0018363A" w:rsidRDefault="0018363A" w:rsidP="0018363A">
      <w:pPr>
        <w:spacing w:after="0"/>
        <w:jc w:val="center"/>
        <w:rPr>
          <w:rFonts w:ascii="Calibri" w:eastAsia="Times New Roman" w:hAnsi="Calibri" w:cs="Times New Roman"/>
        </w:rPr>
      </w:pPr>
    </w:p>
    <w:p w:rsidR="001C790C" w:rsidRPr="00A83C7F" w:rsidRDefault="001C790C" w:rsidP="00A83C7F">
      <w:pPr>
        <w:spacing w:after="0" w:line="276" w:lineRule="auto"/>
      </w:pPr>
    </w:p>
    <w:sectPr w:rsidR="001C790C" w:rsidRPr="00A83C7F" w:rsidSect="008E1DC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720" w:left="1440" w:header="720"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E69" w:rsidRDefault="00E91E69" w:rsidP="008E1DC9">
      <w:pPr>
        <w:spacing w:after="0"/>
      </w:pPr>
      <w:r>
        <w:separator/>
      </w:r>
    </w:p>
  </w:endnote>
  <w:endnote w:type="continuationSeparator" w:id="0">
    <w:p w:rsidR="00E91E69" w:rsidRDefault="00E91E69" w:rsidP="008E1DC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87" w:usb1="1000204A" w:usb2="00000000" w:usb3="00000000" w:csb0="0000001B" w:csb1="00000000"/>
  </w:font>
  <w:font w:name="Cambria">
    <w:panose1 w:val="02040503050406030204"/>
    <w:charset w:val="00"/>
    <w:family w:val="roman"/>
    <w:pitch w:val="variable"/>
    <w:sig w:usb0="E00002FF" w:usb1="400004FF" w:usb2="00000000" w:usb3="00000000" w:csb0="0000019F" w:csb1="00000000"/>
  </w:font>
  <w:font w:name="Humnst777 B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3A" w:rsidRDefault="001836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3A" w:rsidRDefault="001836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D8" w:rsidRDefault="002556D8" w:rsidP="00D14181">
    <w:pPr>
      <w:pStyle w:val="Footer"/>
      <w:tabs>
        <w:tab w:val="clear" w:pos="9360"/>
      </w:tabs>
      <w:ind w:left="-360" w:right="-360"/>
      <w:rPr>
        <w:rFonts w:ascii="Humnst777 Lt BT" w:hAnsi="Humnst777 Lt BT"/>
        <w:color w:val="336699"/>
        <w:spacing w:val="20"/>
        <w:sz w:val="16"/>
        <w:szCs w:val="18"/>
        <w:lang w:val="es-MX"/>
      </w:rPr>
    </w:pPr>
  </w:p>
  <w:p w:rsidR="00481976" w:rsidRDefault="00481976" w:rsidP="00D14181">
    <w:pPr>
      <w:pStyle w:val="Footer"/>
      <w:tabs>
        <w:tab w:val="clear" w:pos="9360"/>
      </w:tabs>
      <w:ind w:left="-360" w:right="-360"/>
      <w:rPr>
        <w:rFonts w:ascii="Humnst777 Lt BT" w:hAnsi="Humnst777 Lt BT"/>
        <w:color w:val="336699"/>
        <w:spacing w:val="20"/>
        <w:sz w:val="16"/>
        <w:szCs w:val="18"/>
        <w:lang w:val="es-MX"/>
      </w:rPr>
    </w:pPr>
  </w:p>
  <w:p w:rsidR="00481976" w:rsidRDefault="00481976" w:rsidP="00D14181">
    <w:pPr>
      <w:pStyle w:val="Footer"/>
      <w:tabs>
        <w:tab w:val="clear" w:pos="9360"/>
      </w:tabs>
      <w:ind w:left="-360" w:right="-360"/>
      <w:rPr>
        <w:rFonts w:ascii="Humnst777 Lt BT" w:hAnsi="Humnst777 Lt BT"/>
        <w:color w:val="336699"/>
        <w:spacing w:val="20"/>
        <w:sz w:val="16"/>
        <w:szCs w:val="18"/>
        <w:lang w:val="es-MX"/>
      </w:rPr>
    </w:pPr>
  </w:p>
  <w:p w:rsidR="00481976" w:rsidRDefault="00481976" w:rsidP="00D14181">
    <w:pPr>
      <w:pStyle w:val="Footer"/>
      <w:tabs>
        <w:tab w:val="clear" w:pos="9360"/>
      </w:tabs>
      <w:ind w:left="-360" w:right="-360"/>
      <w:rPr>
        <w:rFonts w:ascii="Humnst777 Lt BT" w:hAnsi="Humnst777 Lt BT"/>
        <w:color w:val="336699"/>
        <w:spacing w:val="20"/>
        <w:sz w:val="16"/>
        <w:szCs w:val="18"/>
        <w:lang w:val="es-MX"/>
      </w:rPr>
    </w:pPr>
  </w:p>
  <w:p w:rsidR="00481976" w:rsidRDefault="00A22221" w:rsidP="00D14181">
    <w:pPr>
      <w:pStyle w:val="Footer"/>
      <w:tabs>
        <w:tab w:val="clear" w:pos="9360"/>
      </w:tabs>
      <w:ind w:left="-360" w:right="-360"/>
    </w:pPr>
    <w:r w:rsidRPr="00A22221">
      <w:rPr>
        <w:rFonts w:ascii="Humnst777 Lt BT" w:hAnsi="Humnst777 Lt BT"/>
        <w:noProof/>
        <w:color w:val="336699"/>
        <w:spacing w:val="20"/>
        <w:sz w:val="16"/>
        <w:szCs w:val="18"/>
      </w:rPr>
      <w:drawing>
        <wp:anchor distT="0" distB="0" distL="114300" distR="114300" simplePos="0" relativeHeight="251657728" behindDoc="0" locked="0" layoutInCell="1" allowOverlap="1">
          <wp:simplePos x="0" y="0"/>
          <wp:positionH relativeFrom="column">
            <wp:posOffset>-914400</wp:posOffset>
          </wp:positionH>
          <wp:positionV relativeFrom="paragraph">
            <wp:posOffset>-684530</wp:posOffset>
          </wp:positionV>
          <wp:extent cx="7781925" cy="1028700"/>
          <wp:effectExtent l="0" t="0" r="0" b="0"/>
          <wp:wrapNone/>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PIC letterhead footer.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9385" cy="102933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E69" w:rsidRDefault="00E91E69" w:rsidP="008E1DC9">
      <w:pPr>
        <w:spacing w:after="0"/>
      </w:pPr>
      <w:r>
        <w:separator/>
      </w:r>
    </w:p>
  </w:footnote>
  <w:footnote w:type="continuationSeparator" w:id="0">
    <w:p w:rsidR="00E91E69" w:rsidRDefault="00E91E69" w:rsidP="008E1DC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3A" w:rsidRDefault="001836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3A" w:rsidRDefault="001836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D8" w:rsidRDefault="001A126D" w:rsidP="008E1DC9">
    <w:pPr>
      <w:pStyle w:val="Header"/>
    </w:pPr>
    <w:sdt>
      <w:sdtPr>
        <w:id w:val="13171524"/>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4817"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22221">
      <w:rPr>
        <w:noProof/>
      </w:rPr>
      <w:drawing>
        <wp:anchor distT="0" distB="0" distL="114300" distR="114300" simplePos="0" relativeHeight="251656704" behindDoc="0" locked="0" layoutInCell="1" allowOverlap="1">
          <wp:simplePos x="0" y="0"/>
          <wp:positionH relativeFrom="column">
            <wp:posOffset>-609600</wp:posOffset>
          </wp:positionH>
          <wp:positionV relativeFrom="paragraph">
            <wp:posOffset>-152400</wp:posOffset>
          </wp:positionV>
          <wp:extent cx="7191375" cy="1438275"/>
          <wp:effectExtent l="19050" t="0" r="9525" b="0"/>
          <wp:wrapNone/>
          <wp:docPr id="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V-PIC letterhead header.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91375" cy="1438275"/>
                  </a:xfrm>
                  <a:prstGeom prst="rect">
                    <a:avLst/>
                  </a:prstGeom>
                  <a:noFill/>
                  <a:ln>
                    <a:noFill/>
                  </a:ln>
                </pic:spPr>
              </pic:pic>
            </a:graphicData>
          </a:graphic>
        </wp:anchor>
      </w:drawing>
    </w:r>
  </w:p>
  <w:p w:rsidR="002556D8" w:rsidRDefault="002556D8" w:rsidP="008E1DC9">
    <w:pPr>
      <w:pStyle w:val="Header"/>
    </w:pPr>
  </w:p>
  <w:p w:rsidR="00481976" w:rsidRDefault="00CC4B8A" w:rsidP="00481976">
    <w:pPr>
      <w:pStyle w:val="Header"/>
      <w:spacing w:line="360" w:lineRule="auto"/>
      <w:contextualSpacing/>
      <w:rPr>
        <w:rFonts w:ascii="Humnst777 BT" w:hAnsi="Humnst777 BT"/>
      </w:rPr>
    </w:pPr>
    <w:r>
      <w:rPr>
        <w:rFonts w:ascii="Humnst777 BT" w:hAnsi="Humnst777 BT"/>
      </w:rPr>
      <w:t xml:space="preserve">                      </w:t>
    </w:r>
  </w:p>
  <w:p w:rsidR="00481976" w:rsidRDefault="00481976" w:rsidP="00481976">
    <w:pPr>
      <w:pStyle w:val="Header"/>
      <w:spacing w:line="360" w:lineRule="auto"/>
      <w:contextualSpacing/>
      <w:rPr>
        <w:rFonts w:ascii="Humnst777 BT" w:hAnsi="Humnst777 BT"/>
      </w:rPr>
    </w:pPr>
  </w:p>
  <w:p w:rsidR="00481976" w:rsidRDefault="00481976" w:rsidP="00481976">
    <w:pPr>
      <w:pStyle w:val="Header"/>
      <w:spacing w:line="360" w:lineRule="auto"/>
      <w:contextualSpacing/>
      <w:rPr>
        <w:rFonts w:ascii="Humnst777 BT" w:hAnsi="Humnst777 BT"/>
      </w:rPr>
    </w:pPr>
  </w:p>
  <w:p w:rsidR="002556D8" w:rsidRDefault="002556D8" w:rsidP="00481976">
    <w:pPr>
      <w:pStyle w:val="Header"/>
      <w:spacing w:line="360" w:lineRule="auto"/>
      <w:contextualSpaci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46AD2"/>
    <w:multiLevelType w:val="hybridMultilevel"/>
    <w:tmpl w:val="7C3800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E9957B0"/>
    <w:multiLevelType w:val="hybridMultilevel"/>
    <w:tmpl w:val="AEB6FB5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hdrShapeDefaults>
    <o:shapedefaults v:ext="edit" spidmax="37890"/>
    <o:shapelayout v:ext="edit">
      <o:idmap v:ext="edit" data="34"/>
    </o:shapelayout>
  </w:hdrShapeDefaults>
  <w:footnotePr>
    <w:footnote w:id="-1"/>
    <w:footnote w:id="0"/>
  </w:footnotePr>
  <w:endnotePr>
    <w:endnote w:id="-1"/>
    <w:endnote w:id="0"/>
  </w:endnotePr>
  <w:compat/>
  <w:rsids>
    <w:rsidRoot w:val="000B25E4"/>
    <w:rsid w:val="00047B58"/>
    <w:rsid w:val="000906FD"/>
    <w:rsid w:val="000A20BF"/>
    <w:rsid w:val="000B25E4"/>
    <w:rsid w:val="000B7B44"/>
    <w:rsid w:val="001027A8"/>
    <w:rsid w:val="0018363A"/>
    <w:rsid w:val="001A126D"/>
    <w:rsid w:val="001B505E"/>
    <w:rsid w:val="001C790C"/>
    <w:rsid w:val="002368C3"/>
    <w:rsid w:val="00242974"/>
    <w:rsid w:val="00247685"/>
    <w:rsid w:val="00252E75"/>
    <w:rsid w:val="002556D8"/>
    <w:rsid w:val="00274FDE"/>
    <w:rsid w:val="002B6CFE"/>
    <w:rsid w:val="002C3342"/>
    <w:rsid w:val="00332C95"/>
    <w:rsid w:val="003C71FA"/>
    <w:rsid w:val="00433AE4"/>
    <w:rsid w:val="00445913"/>
    <w:rsid w:val="00481976"/>
    <w:rsid w:val="004B6157"/>
    <w:rsid w:val="004C5236"/>
    <w:rsid w:val="0050397C"/>
    <w:rsid w:val="00556F99"/>
    <w:rsid w:val="00581E1D"/>
    <w:rsid w:val="00581EA5"/>
    <w:rsid w:val="005A290B"/>
    <w:rsid w:val="005D1CA0"/>
    <w:rsid w:val="005F2891"/>
    <w:rsid w:val="00644D66"/>
    <w:rsid w:val="00671D66"/>
    <w:rsid w:val="0067397F"/>
    <w:rsid w:val="00691ED1"/>
    <w:rsid w:val="006B4154"/>
    <w:rsid w:val="008218E3"/>
    <w:rsid w:val="00871092"/>
    <w:rsid w:val="00886191"/>
    <w:rsid w:val="008E1DC9"/>
    <w:rsid w:val="0092077D"/>
    <w:rsid w:val="00947D91"/>
    <w:rsid w:val="009900D7"/>
    <w:rsid w:val="009F5B0D"/>
    <w:rsid w:val="00A22221"/>
    <w:rsid w:val="00A83C7F"/>
    <w:rsid w:val="00AC023D"/>
    <w:rsid w:val="00B1058E"/>
    <w:rsid w:val="00B6476E"/>
    <w:rsid w:val="00B66E5D"/>
    <w:rsid w:val="00B66EF6"/>
    <w:rsid w:val="00C3034C"/>
    <w:rsid w:val="00C87FB5"/>
    <w:rsid w:val="00C93831"/>
    <w:rsid w:val="00CC4B8A"/>
    <w:rsid w:val="00CD30AD"/>
    <w:rsid w:val="00D00922"/>
    <w:rsid w:val="00D14181"/>
    <w:rsid w:val="00D166B7"/>
    <w:rsid w:val="00D31A7D"/>
    <w:rsid w:val="00D773EB"/>
    <w:rsid w:val="00DD3A29"/>
    <w:rsid w:val="00DF7DD9"/>
    <w:rsid w:val="00E024D1"/>
    <w:rsid w:val="00E0705F"/>
    <w:rsid w:val="00E34B0B"/>
    <w:rsid w:val="00E91E69"/>
    <w:rsid w:val="00ED63EE"/>
    <w:rsid w:val="00F26438"/>
    <w:rsid w:val="00F30C75"/>
    <w:rsid w:val="00F44643"/>
    <w:rsid w:val="00F6035D"/>
    <w:rsid w:val="00F71769"/>
    <w:rsid w:val="00FA5F64"/>
    <w:rsid w:val="00FD6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DC9"/>
    <w:pPr>
      <w:tabs>
        <w:tab w:val="center" w:pos="4680"/>
        <w:tab w:val="right" w:pos="9360"/>
      </w:tabs>
      <w:spacing w:after="0"/>
    </w:pPr>
  </w:style>
  <w:style w:type="character" w:customStyle="1" w:styleId="HeaderChar">
    <w:name w:val="Header Char"/>
    <w:basedOn w:val="DefaultParagraphFont"/>
    <w:link w:val="Header"/>
    <w:uiPriority w:val="99"/>
    <w:rsid w:val="008E1DC9"/>
  </w:style>
  <w:style w:type="paragraph" w:styleId="Footer">
    <w:name w:val="footer"/>
    <w:basedOn w:val="Normal"/>
    <w:link w:val="FooterChar"/>
    <w:unhideWhenUsed/>
    <w:rsid w:val="008E1DC9"/>
    <w:pPr>
      <w:tabs>
        <w:tab w:val="center" w:pos="4680"/>
        <w:tab w:val="right" w:pos="9360"/>
      </w:tabs>
      <w:spacing w:after="0"/>
    </w:pPr>
  </w:style>
  <w:style w:type="character" w:customStyle="1" w:styleId="FooterChar">
    <w:name w:val="Footer Char"/>
    <w:basedOn w:val="DefaultParagraphFont"/>
    <w:link w:val="Footer"/>
    <w:uiPriority w:val="99"/>
    <w:semiHidden/>
    <w:rsid w:val="008E1DC9"/>
  </w:style>
  <w:style w:type="paragraph" w:styleId="BalloonText">
    <w:name w:val="Balloon Text"/>
    <w:basedOn w:val="Normal"/>
    <w:link w:val="BalloonTextChar"/>
    <w:uiPriority w:val="99"/>
    <w:semiHidden/>
    <w:unhideWhenUsed/>
    <w:rsid w:val="008E1D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DC9"/>
    <w:rPr>
      <w:rFonts w:ascii="Tahoma" w:hAnsi="Tahoma" w:cs="Tahoma"/>
      <w:sz w:val="16"/>
      <w:szCs w:val="16"/>
    </w:rPr>
  </w:style>
  <w:style w:type="paragraph" w:customStyle="1" w:styleId="bodytext">
    <w:name w:val="body text"/>
    <w:basedOn w:val="Normal"/>
    <w:uiPriority w:val="99"/>
    <w:rsid w:val="008E1DC9"/>
    <w:pPr>
      <w:tabs>
        <w:tab w:val="left" w:pos="360"/>
        <w:tab w:val="left" w:pos="720"/>
      </w:tabs>
      <w:suppressAutoHyphens/>
      <w:autoSpaceDE w:val="0"/>
      <w:autoSpaceDN w:val="0"/>
      <w:adjustRightInd w:val="0"/>
      <w:spacing w:after="0" w:line="260" w:lineRule="atLeast"/>
      <w:textAlignment w:val="center"/>
    </w:pPr>
    <w:rPr>
      <w:rFonts w:ascii="Humnst777 Lt BT" w:hAnsi="Humnst777 Lt BT" w:cs="Humnst777 Lt BT"/>
      <w:color w:val="000000"/>
      <w:sz w:val="20"/>
      <w:szCs w:val="20"/>
    </w:rPr>
  </w:style>
  <w:style w:type="character" w:styleId="Hyperlink">
    <w:name w:val="Hyperlink"/>
    <w:basedOn w:val="DefaultParagraphFont"/>
    <w:uiPriority w:val="99"/>
    <w:unhideWhenUsed/>
    <w:rsid w:val="0092077D"/>
    <w:rPr>
      <w:color w:val="0000FF" w:themeColor="hyperlink"/>
      <w:u w:val="single"/>
    </w:rPr>
  </w:style>
  <w:style w:type="paragraph" w:styleId="NormalWeb">
    <w:name w:val="Normal (Web)"/>
    <w:basedOn w:val="Normal"/>
    <w:uiPriority w:val="99"/>
    <w:semiHidden/>
    <w:unhideWhenUsed/>
    <w:rsid w:val="00A83C7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83C7F"/>
    <w:pPr>
      <w:spacing w:after="0"/>
      <w:ind w:left="720"/>
    </w:pPr>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581598219">
      <w:bodyDiv w:val="1"/>
      <w:marLeft w:val="0"/>
      <w:marRight w:val="0"/>
      <w:marTop w:val="0"/>
      <w:marBottom w:val="0"/>
      <w:divBdr>
        <w:top w:val="none" w:sz="0" w:space="0" w:color="auto"/>
        <w:left w:val="none" w:sz="0" w:space="0" w:color="auto"/>
        <w:bottom w:val="none" w:sz="0" w:space="0" w:color="auto"/>
        <w:right w:val="none" w:sz="0" w:space="0" w:color="auto"/>
      </w:divBdr>
    </w:div>
    <w:div w:id="8508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ohatt\AppData\Local\Microsoft\Windows\Temporary%20Internet%20Files\Content.Outlook\OK11Y2RL\MH%20letterhead-60t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MH letterhead-60th.dotx</Template>
  <TotalTime>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Mohatt</dc:creator>
  <cp:lastModifiedBy>Alyssa Gilden</cp:lastModifiedBy>
  <cp:revision>3</cp:revision>
  <dcterms:created xsi:type="dcterms:W3CDTF">2016-04-11T15:55:00Z</dcterms:created>
  <dcterms:modified xsi:type="dcterms:W3CDTF">2016-05-13T16:15:00Z</dcterms:modified>
</cp:coreProperties>
</file>