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keepLines w:val="false"/>
        <w:pageBreakBefore w:val="false"/>
        <w:spacing w:lineRule="auto" w:line="240" w:before="0" w:after="0"/>
        <w:jc w:val="center"/>
        <w:rPr>
          <w:rFonts w:ascii="Calibri" w:hAnsi="Calibri" w:eastAsia="Calibri" w:cs="Calibri"/>
          <w:b/>
          <w:b/>
          <w:sz w:val="56"/>
          <w:szCs w:val="56"/>
        </w:rPr>
      </w:pPr>
      <w:bookmarkStart w:id="0" w:name="_gjdgxs"/>
      <w:bookmarkEnd w:id="0"/>
      <w:r>
        <w:rPr>
          <w:rFonts w:eastAsia="Calibri" w:cs="Calibri" w:ascii="Calibri" w:hAnsi="Calibri"/>
          <w:b/>
          <w:sz w:val="56"/>
          <w:szCs w:val="56"/>
        </w:rPr>
        <w:t>Система „</w:t>
      </w:r>
      <w:r>
        <w:rPr>
          <w:rFonts w:eastAsia="Calibri" w:cs="Calibri" w:ascii="Calibri" w:hAnsi="Calibri"/>
          <w:b/>
          <w:color w:val="auto"/>
          <w:kern w:val="0"/>
          <w:sz w:val="56"/>
          <w:szCs w:val="56"/>
          <w:lang w:val="en" w:eastAsia="zh-CN" w:bidi="hi-IN"/>
        </w:rPr>
        <w:t>Готини събития</w:t>
      </w:r>
      <w:r>
        <w:rPr>
          <w:rFonts w:eastAsia="Calibri" w:cs="Calibri" w:ascii="Calibri" w:hAnsi="Calibri"/>
          <w:b/>
          <w:sz w:val="56"/>
          <w:szCs w:val="56"/>
        </w:rPr>
        <w:t>”</w:t>
      </w:r>
    </w:p>
    <w:p>
      <w:pPr>
        <w:pStyle w:val="LOnormal"/>
        <w:pageBreakBefore w:val="false"/>
        <w:spacing w:lineRule="auto" w:line="259" w:before="0" w:after="1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„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Готини събития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“ е приложение за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резервиране на билети за събития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Изградете система за „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Готини събития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”, която позволява на потребители да </w:t>
      </w:r>
      <w:r>
        <w:rPr>
          <w:rFonts w:eastAsia="Times New Roman" w:cs="Times New Roman" w:ascii="Times New Roman" w:hAnsi="Times New Roman"/>
          <w:sz w:val="24"/>
          <w:szCs w:val="24"/>
        </w:rPr>
        <w:t>резервират билети и преглеждат събития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системата има два вида потребители: администратори и обикновени потребители.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Като администратор даден потребител има контрол върху създаването и управлението на други потребители, създаването и управлението на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събития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Обикновеният потребител може да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резервира билети за събития, след което да вижда резервираните от него/нея билети в профила си.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Всеки потребител се характеризира с потребителско име, парола, собствено име и фамилия, роля - администратор или обикновен потребител.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Вс</w:t>
      </w:r>
      <w:r>
        <w:rPr>
          <w:rFonts w:eastAsia="Times New Roman" w:cs="Times New Roman" w:ascii="Times New Roman" w:hAnsi="Times New Roman"/>
          <w:sz w:val="24"/>
          <w:szCs w:val="24"/>
        </w:rPr>
        <w:t>яко събитие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се характеризира с име (текстов низ до 64 символа), както и кратко описаниие (текстов низ до 255 символа), снимка (изображение до 2 мегабайта), дата на  </w:t>
      </w:r>
      <w:r>
        <w:rPr>
          <w:rFonts w:eastAsia="Times New Roman" w:cs="Times New Roman" w:ascii="Times New Roman" w:hAnsi="Times New Roman"/>
          <w:sz w:val="24"/>
          <w:szCs w:val="24"/>
        </w:rPr>
        <w:t>събитието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(формат: dd/MM/YYYY).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Обикновените потребители могат да търсят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събитие</w:t>
      </w:r>
      <w:r>
        <w:rPr>
          <w:rFonts w:eastAsia="Calibri" w:cs="Calibri" w:ascii="Calibri" w:hAnsi="Calibri"/>
          <w:sz w:val="24"/>
          <w:szCs w:val="24"/>
        </w:rPr>
        <w:t xml:space="preserve"> по име, като се визуализира информация за съответните резултати. 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При стартиране на системата потребителят има възможност да влезе в своя потребителски профил или да си създаде такъв.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5943600" cy="32308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Влизането в системата става, като се предоставят име и парола.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3937635" cy="272478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Ако няма регистрация, даден потребител може да се регистрира.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4641850" cy="26162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След вход в системата, ако даден потребител е администратор, той може да управлява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събития</w:t>
      </w:r>
      <w:r>
        <w:rPr>
          <w:rFonts w:eastAsia="Calibri" w:cs="Calibri" w:ascii="Calibri" w:hAnsi="Calibri"/>
          <w:sz w:val="24"/>
          <w:szCs w:val="24"/>
        </w:rPr>
        <w:t xml:space="preserve"> и потребители.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Администраторът може да вижда информация за всички потребители, да добавя нов, да изтрива, да редактира.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Администраторът не може да добавя нови администратори през системата. При създаване на нов потребител или редакция на съществуващ се показва същата страница, като при регистрация.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Администратор може да управлява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събития</w:t>
      </w:r>
      <w:r>
        <w:rPr>
          <w:rFonts w:eastAsia="Calibri" w:cs="Calibri" w:ascii="Calibri" w:hAnsi="Calibri"/>
          <w:sz w:val="24"/>
          <w:szCs w:val="24"/>
        </w:rPr>
        <w:t xml:space="preserve"> – да добавя, редактира и изтрива. 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При създаване или редакция на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събитие</w:t>
      </w:r>
      <w:r>
        <w:rPr>
          <w:rFonts w:eastAsia="Calibri" w:cs="Calibri" w:ascii="Calibri" w:hAnsi="Calibri"/>
          <w:sz w:val="24"/>
          <w:szCs w:val="24"/>
        </w:rPr>
        <w:t xml:space="preserve">, се задават име (Name), снимка (Photo), кратко описание (Description), както и дата на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събитието</w:t>
      </w:r>
      <w:r>
        <w:rPr>
          <w:rFonts w:eastAsia="Calibri" w:cs="Calibri" w:ascii="Calibri" w:hAnsi="Calibri"/>
          <w:sz w:val="24"/>
          <w:szCs w:val="24"/>
        </w:rPr>
        <w:t xml:space="preserve"> на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играта</w:t>
      </w:r>
      <w:r>
        <w:rPr>
          <w:rFonts w:eastAsia="Calibri" w:cs="Calibri" w:ascii="Calibri" w:hAnsi="Calibri"/>
          <w:sz w:val="24"/>
          <w:szCs w:val="24"/>
        </w:rPr>
        <w:t xml:space="preserve"> (PremiereDate).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При вход в системата, обикновен потребител може да търси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събитие</w:t>
      </w:r>
      <w:r>
        <w:rPr>
          <w:rFonts w:eastAsia="Calibri" w:cs="Calibri" w:ascii="Calibri" w:hAnsi="Calibri"/>
          <w:sz w:val="24"/>
          <w:szCs w:val="24"/>
        </w:rPr>
        <w:t xml:space="preserve"> по зададено име. 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За всеки от резултатите потребителят трябва да има възможност за </w:t>
      </w:r>
      <w:r>
        <w:rPr>
          <w:rFonts w:eastAsia="Calibri" w:cs="Calibri" w:ascii="Calibri" w:hAnsi="Calibri"/>
          <w:sz w:val="24"/>
          <w:szCs w:val="24"/>
        </w:rPr>
        <w:t>резервиране на билет</w:t>
      </w:r>
      <w:r>
        <w:rPr>
          <w:rFonts w:eastAsia="Calibri" w:cs="Calibri" w:ascii="Calibri" w:hAnsi="Calibri"/>
          <w:sz w:val="24"/>
          <w:szCs w:val="24"/>
        </w:rPr>
        <w:t xml:space="preserve">. При избор за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резервиране билета се добавя към профила</w:t>
      </w:r>
      <w:r>
        <w:rPr>
          <w:rFonts w:eastAsia="Calibri" w:cs="Calibri" w:ascii="Calibri" w:hAnsi="Calibri"/>
          <w:sz w:val="24"/>
          <w:szCs w:val="24"/>
        </w:rPr>
        <w:t xml:space="preserve">. </w:t>
      </w:r>
    </w:p>
    <w:p>
      <w:pPr>
        <w:pStyle w:val="LOnormal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В страницата с билети потребителя има възможност да изтрие резервиран билет.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1"/>
        <w:pageBreakBefore w:val="false"/>
        <w:bidi w:val="0"/>
        <w:spacing w:lineRule="auto" w:line="331" w:before="0" w:after="40"/>
        <w:jc w:val="center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642D08"/>
          <w:sz w:val="40"/>
          <w:u w:val="none"/>
          <w:effect w:val="none"/>
        </w:rPr>
      </w:pPr>
      <w:bookmarkStart w:id="1" w:name="docs-internal-guid-44d60fec-7fff-da7a-62"/>
      <w:bookmarkEnd w:id="1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642D08"/>
          <w:sz w:val="40"/>
          <w:u w:val="none"/>
          <w:effect w:val="none"/>
        </w:rPr>
        <w:t>Система „</w:t>
      </w:r>
      <w:r>
        <w:rPr>
          <w:rFonts w:eastAsia="Arial" w:cs="Arial"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642D08"/>
          <w:kern w:val="0"/>
          <w:sz w:val="40"/>
          <w:szCs w:val="40"/>
          <w:u w:val="none"/>
          <w:effect w:val="none"/>
          <w:lang w:val="en" w:eastAsia="zh-CN" w:bidi="hi-IN"/>
        </w:rPr>
        <w:t>Готини събития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642D08"/>
          <w:sz w:val="40"/>
          <w:u w:val="none"/>
          <w:effect w:val="none"/>
        </w:rPr>
        <w:t>”</w:t>
      </w:r>
    </w:p>
    <w:p>
      <w:pPr>
        <w:pStyle w:val="TextBody"/>
        <w:bidi w:val="0"/>
        <w:spacing w:lineRule="auto" w:line="331" w:before="80" w:after="12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 успешното полагане на ДИ по практика трябва да се разработи трислойно приложение. 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200" w:after="40"/>
        <w:ind w:left="707" w:right="0" w:hanging="283"/>
        <w:jc w:val="both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7C380A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7C380A"/>
          <w:sz w:val="36"/>
          <w:u w:val="none"/>
          <w:effect w:val="none"/>
        </w:rPr>
        <w:t>Общи изисквания</w:t>
      </w:r>
    </w:p>
    <w:p>
      <w:pPr>
        <w:pStyle w:val="TextBody"/>
        <w:bidi w:val="0"/>
        <w:spacing w:lineRule="auto" w:line="331" w:before="80" w:after="120"/>
        <w:ind w:left="0" w:right="0" w:firstLine="3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Проектът трябва да бъде приложение реализирано чрез слой за данни, слой за услуги и презентационен слой.</w:t>
      </w:r>
    </w:p>
    <w:p>
      <w:pPr>
        <w:pStyle w:val="TextBody"/>
        <w:bidi w:val="0"/>
        <w:spacing w:lineRule="auto" w:line="331" w:before="80" w:after="120"/>
        <w:ind w:left="0" w:right="0" w:firstLine="3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Приложението трябва да има Web базиран интерфейс, за който са използвани HTML и CSS. </w:t>
      </w:r>
    </w:p>
    <w:p>
      <w:pPr>
        <w:pStyle w:val="TextBody"/>
        <w:bidi w:val="0"/>
        <w:spacing w:lineRule="auto" w:line="331" w:before="80" w:after="120"/>
        <w:ind w:left="0" w:right="0" w:firstLine="3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Приложението трябва да работи с релационна база от данни.</w:t>
      </w:r>
    </w:p>
    <w:p>
      <w:pPr>
        <w:pStyle w:val="TextBody"/>
        <w:bidi w:val="0"/>
        <w:spacing w:lineRule="auto" w:line="331" w:before="80" w:after="120"/>
        <w:ind w:left="0" w:right="0" w:firstLine="3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Проектът трябва да спазва официалните препоръки (style guide) за използваните технологии и да разполага със смислени коментари.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200" w:after="40"/>
        <w:ind w:left="707" w:right="0" w:hanging="283"/>
        <w:jc w:val="both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7C380A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7C380A"/>
          <w:sz w:val="36"/>
          <w:u w:val="none"/>
          <w:effect w:val="none"/>
        </w:rPr>
        <w:t>Критерии за оценяване</w:t>
      </w:r>
    </w:p>
    <w:p>
      <w:pPr>
        <w:pStyle w:val="TextBody"/>
        <w:bidi w:val="0"/>
        <w:spacing w:lineRule="auto" w:line="331" w:before="80" w:after="120"/>
        <w:ind w:left="0" w:right="0" w:firstLine="3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Точки се присъждат на базата на два компонента: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80" w:after="0"/>
        <w:ind w:left="707" w:hanging="283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Изграждане на презентационна част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Структура на базата от данни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120"/>
        <w:ind w:left="707" w:hanging="283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Разработка на функционалности</w:t>
      </w:r>
    </w:p>
    <w:p>
      <w:pPr>
        <w:pStyle w:val="TextBody"/>
        <w:bidi w:val="0"/>
        <w:spacing w:lineRule="auto" w:line="331" w:before="120" w:after="240"/>
        <w:ind w:left="0" w:right="0" w:firstLine="3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Критерии и скала за оценяване за разработка на проект:</w:t>
      </w:r>
    </w:p>
    <w:p>
      <w:pPr>
        <w:pStyle w:val="TextBody"/>
        <w:spacing w:before="0" w:after="0"/>
        <w:rPr/>
      </w:pPr>
      <w:r>
        <w:rPr/>
      </w:r>
    </w:p>
    <w:tbl>
      <w:tblPr>
        <w:tblW w:w="9290" w:type="dxa"/>
        <w:jc w:val="left"/>
        <w:tblInd w:w="70" w:type="dxa"/>
        <w:tblCellMar>
          <w:top w:w="28" w:type="dxa"/>
          <w:left w:w="28" w:type="dxa"/>
          <w:bottom w:w="0" w:type="dxa"/>
          <w:right w:w="28" w:type="dxa"/>
        </w:tblCellMar>
      </w:tblPr>
      <w:tblGrid>
        <w:gridCol w:w="1386"/>
        <w:gridCol w:w="6211"/>
        <w:gridCol w:w="1693"/>
      </w:tblGrid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№</w:t>
            </w:r>
          </w:p>
        </w:tc>
        <w:tc>
          <w:tcPr>
            <w:tcW w:w="62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34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Критерии за формиране на оценката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Максимален</w:t>
            </w:r>
          </w:p>
        </w:tc>
      </w:tr>
      <w:tr>
        <w:trPr/>
        <w:tc>
          <w:tcPr>
            <w:tcW w:w="1386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брой точки</w:t>
            </w:r>
          </w:p>
        </w:tc>
      </w:tr>
      <w:tr>
        <w:trPr/>
        <w:tc>
          <w:tcPr>
            <w:tcW w:w="1386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2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93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Реализация на презентационна част (HTML, CSS)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15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1.1.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Oформление на страница - позициониране на елементи, чрез HTML тагове (например: div) и CSS атрибути (например: float, clear и display)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5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1.2.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използване на семантични HTML тагове (header, nav, main и др.)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5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1.3.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използване на CSS селектори, изнасяне на CSS във външен файл, използване на класове в HTML кода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5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Умения за работа с БД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20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2.1.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Изграждане на структурата на базата от данни - таблици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10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2.1.1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Създаване на таблици за потребители и роли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2.1.2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Създаване на таблица за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билети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2.1.3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Създаване на таблица за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събития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2.2.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Изграждане на структурата на базата от данни - връзки между таблиците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10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2.2.1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Създаване на връзка между потребител и роли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2.2.2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Създаване на връзка между потребител и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билет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2.2.3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Създаване на връзка между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билети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и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събитие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Разработка на сървърна система, базирана на трислоен модел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20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3.1.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Създаване на потребителска система - вход и регистрация на потребител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3.2.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Управление на потребители (преглед, добавяне, редактиране, изтриване)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3.3.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Управление на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събития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(преглед, добавяне, редактиране, изтриване)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3.4.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Управление на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билети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(преглед, добавяне, редактиране, изтриване)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3.5.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Възможност за прикачване на картинка към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събитие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3.6.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Възможност за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резервиране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на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билет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към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събитие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3.6.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Търсене на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събития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и визуализация на резултатите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3.7.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Налична валидация на формуляри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Здравословно и безопасно упражняване на професията.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4.1.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Ученикът притежава знания и умения за безопасна работа на работното място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4.2.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Ученикът притежава умения за адекватно реагиране в критични ситуации в рамките на компетенциите си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4.3.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Ученикът притежава умения за оказване на първа помощ на пострадал при авария (при токов удар, пожар, наранявания и др.)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5.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Професионално-личностни качества.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5.1.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отговорност към извършената работа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5.2.</w:t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трудова и технологична дисциплина - създаване на четим и ясен код, а в по-комплексни ситуации, детайлно описание, посредством коментари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8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Общо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60</w:t>
            </w:r>
          </w:p>
        </w:tc>
      </w:tr>
    </w:tbl>
    <w:p>
      <w:pPr>
        <w:pStyle w:val="TextBody"/>
        <w:ind w:left="70" w:right="0" w:hanging="0"/>
        <w:rPr/>
      </w:pPr>
      <w:r>
        <w:rPr/>
      </w:r>
    </w:p>
    <w:p>
      <w:pPr>
        <w:pStyle w:val="TextBody"/>
        <w:bidi w:val="0"/>
        <w:spacing w:lineRule="auto" w:line="331" w:before="80" w:after="120"/>
        <w:ind w:left="0" w:right="0" w:firstLine="3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Максималният брой точки е 60, като тези точки се превръщат в оценка по формулата:</w:t>
      </w:r>
    </w:p>
    <w:p>
      <w:pPr>
        <w:pStyle w:val="TextBody"/>
        <w:bidi w:val="0"/>
        <w:spacing w:lineRule="auto" w:line="331" w:before="80" w:after="120"/>
        <w:ind w:left="0" w:right="0" w:firstLine="360"/>
        <w:jc w:val="both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Оценка = брой точки : 10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6</Pages>
  <Words>764</Words>
  <Characters>4296</Characters>
  <CharactersWithSpaces>4936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2022-05-16T10:33:40Z</dcterms:modified>
  <cp:revision>3</cp:revision>
  <dc:subject/>
  <dc:title/>
</cp:coreProperties>
</file>