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4"/>
          <w:szCs w:val="44"/>
        </w:rPr>
        <w:t xml:space="preserve">DOCUMENTO METODOLOGICO</w:t>
      </w:r>
    </w:p>
    <w:p>
      <w:pPr>
        <w:spacing w:after="600"/>
        <w:jc w:val="center"/>
      </w:pPr>
      <w:r>
        <w:rPr>
          <w:rFonts w:ascii="Arial" w:cs="Arial" w:eastAsia="Arial" w:hAnsi="Arial"/>
          <w:color w:val="2C3E50"/>
          <w:sz w:val="36"/>
          <w:szCs w:val="36"/>
        </w:rPr>
        <w:t xml:space="preserve">Indicadores de Calidad de Agua</w:t>
      </w:r>
    </w:p>
    <w:p>
      <w:pPr>
        <w:spacing w:after="200"/>
        <w:jc w:val="center"/>
      </w:pPr>
      <w:r>
        <w:rPr>
          <w:rFonts w:ascii="Arial" w:cs="Arial" w:eastAsia="Arial" w:hAnsi="Arial"/>
          <w:color w:val="7F8C8D"/>
          <w:sz w:val="24"/>
          <w:szCs w:val="24"/>
        </w:rPr>
        <w:t xml:space="preserve">Evalscripts para Sentinel-2 (Sentinel Hub / EO Browser)</w:t>
      </w:r>
    </w:p>
    <w:p>
      <w:pPr>
        <w:pBdr>
          <w:bottom w:val="single" w:color="1B4F72" w:sz="6" w:space="1"/>
        </w:pBdr>
        <w:spacing w:before="400"/>
        <w:jc w:val="center"/>
      </w:pP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6018"/>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2C3E50"/>
                <w:sz w:val="20"/>
                <w:szCs w:val="20"/>
              </w:rPr>
              <w:t xml:space="preserve">Autor</w:t>
            </w:r>
          </w:p>
        </w:tc>
        <w:tc>
          <w:tcPr>
            <w:tcW w:type="dxa" w:w="6018"/>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WildSquare</w:t>
            </w:r>
          </w:p>
        </w:tc>
      </w:tr>
      <w:tr>
        <w:tc>
          <w:tcPr>
            <w:tcW w:type="dxa" w:w="3008"/>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Fecha</w:t>
            </w:r>
          </w:p>
        </w:tc>
        <w:tc>
          <w:tcPr>
            <w:tcW w:type="dxa" w:w="6018"/>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Marzo 2026</w:t>
            </w:r>
          </w:p>
        </w:tc>
      </w:tr>
      <w:tr>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2C3E50"/>
                <w:sz w:val="20"/>
                <w:szCs w:val="20"/>
              </w:rPr>
              <w:t xml:space="preserve">Plataforma</w:t>
            </w:r>
          </w:p>
        </w:tc>
        <w:tc>
          <w:tcPr>
            <w:tcW w:type="dxa" w:w="6018"/>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Sentinel Hub / EO Browser</w:t>
            </w:r>
          </w:p>
        </w:tc>
      </w:tr>
      <w:tr>
        <w:tc>
          <w:tcPr>
            <w:tcW w:type="dxa" w:w="3008"/>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Datos satelitales</w:t>
            </w:r>
          </w:p>
        </w:tc>
        <w:tc>
          <w:tcPr>
            <w:tcW w:type="dxa" w:w="6018"/>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Sentinel-2 L2A (Copernicus)</w:t>
            </w:r>
          </w:p>
        </w:tc>
      </w:tr>
      <w:tr>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2C3E50"/>
                <w:sz w:val="20"/>
                <w:szCs w:val="20"/>
              </w:rPr>
              <w:t xml:space="preserve">Indicadores</w:t>
            </w:r>
          </w:p>
        </w:tc>
        <w:tc>
          <w:tcPr>
            <w:tcW w:type="dxa" w:w="6018"/>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Turbidez, Deteccion de masas de agua, Clorofila</w:t>
            </w:r>
          </w:p>
        </w:tc>
      </w:tr>
    </w:tbl>
    <w:p>
      <w:r>
        <w:br w:type="page"/>
      </w:r>
    </w:p>
    <w:p>
      <w:pPr>
        <w:pStyle w:val="Heading1"/>
      </w:pPr>
      <w:r>
        <w:rPr>
          <w:rFonts w:ascii="Arial" w:cs="Arial" w:eastAsia="Arial" w:hAnsi="Arial"/>
        </w:rPr>
        <w:t xml:space="preserve">Contenido</w:t>
      </w:r>
    </w:p>
    <w:p>
      <w:pPr>
        <w:spacing w:after="120"/>
        <w:jc w:val="both"/>
      </w:pPr>
      <w:r>
        <w:rPr>
          <w:rFonts w:ascii="Arial" w:cs="Arial" w:eastAsia="Arial" w:hAnsi="Arial"/>
          <w:color w:val="2C3E50"/>
          <w:sz w:val="22"/>
          <w:szCs w:val="22"/>
        </w:rPr>
        <w:t xml:space="preserve">1. Introduccion</w:t>
      </w:r>
    </w:p>
    <w:p>
      <w:pPr>
        <w:spacing w:after="120"/>
        <w:jc w:val="both"/>
      </w:pPr>
      <w:r>
        <w:rPr>
          <w:rFonts w:ascii="Arial" w:cs="Arial" w:eastAsia="Arial" w:hAnsi="Arial"/>
          <w:color w:val="2C3E50"/>
          <w:sz w:val="22"/>
          <w:szCs w:val="22"/>
        </w:rPr>
        <w:t xml:space="preserve">2. Water Turbidity Mapping (Cartografia de Turbidez)</w:t>
      </w:r>
    </w:p>
    <w:p>
      <w:pPr>
        <w:spacing w:after="120"/>
        <w:jc w:val="both"/>
      </w:pPr>
      <w:r>
        <w:rPr>
          <w:rFonts w:ascii="Arial" w:cs="Arial" w:eastAsia="Arial" w:hAnsi="Arial"/>
          <w:color w:val="2C3E50"/>
          <w:sz w:val="22"/>
          <w:szCs w:val="22"/>
        </w:rPr>
        <w:t xml:space="preserve">3. Water Thresholding (Deteccion de Masas de Agua)</w:t>
      </w:r>
    </w:p>
    <w:p>
      <w:pPr>
        <w:spacing w:after="120"/>
        <w:jc w:val="both"/>
      </w:pPr>
      <w:r>
        <w:rPr>
          <w:rFonts w:ascii="Arial" w:cs="Arial" w:eastAsia="Arial" w:hAnsi="Arial"/>
          <w:color w:val="2C3E50"/>
          <w:sz w:val="22"/>
          <w:szCs w:val="22"/>
        </w:rPr>
        <w:t xml:space="preserve">4. Water Chlorophyll (Clorofila en Agua)</w:t>
      </w:r>
    </w:p>
    <w:p>
      <w:pPr>
        <w:spacing w:after="120"/>
        <w:jc w:val="both"/>
      </w:pPr>
      <w:r>
        <w:rPr>
          <w:rFonts w:ascii="Arial" w:cs="Arial" w:eastAsia="Arial" w:hAnsi="Arial"/>
          <w:color w:val="2C3E50"/>
          <w:sz w:val="22"/>
          <w:szCs w:val="22"/>
        </w:rPr>
        <w:t xml:space="preserve">5. Bandas espectrales Sentinel-2 utilizadas</w:t>
      </w:r>
    </w:p>
    <w:p>
      <w:pPr>
        <w:spacing w:after="120"/>
        <w:jc w:val="both"/>
      </w:pPr>
      <w:r>
        <w:rPr>
          <w:rFonts w:ascii="Arial" w:cs="Arial" w:eastAsia="Arial" w:hAnsi="Arial"/>
          <w:color w:val="2C3E50"/>
          <w:sz w:val="22"/>
          <w:szCs w:val="22"/>
        </w:rPr>
        <w:t xml:space="preserve">6. Referencias bibliograficas</w:t>
      </w:r>
    </w:p>
    <w:p>
      <w:r>
        <w:br w:type="page"/>
      </w:r>
    </w:p>
    <w:p>
      <w:pPr>
        <w:pStyle w:val="Heading1"/>
      </w:pPr>
      <w:r>
        <w:rPr>
          <w:rFonts w:ascii="Arial" w:cs="Arial" w:eastAsia="Arial" w:hAnsi="Arial"/>
        </w:rPr>
        <w:t xml:space="preserve">1. Introduccion</w:t>
      </w:r>
    </w:p>
    <w:p>
      <w:pPr>
        <w:spacing w:after="120"/>
        <w:jc w:val="both"/>
      </w:pPr>
      <w:r>
        <w:rPr>
          <w:rFonts w:ascii="Arial" w:cs="Arial" w:eastAsia="Arial" w:hAnsi="Arial"/>
          <w:color w:val="2C3E50"/>
          <w:sz w:val="22"/>
          <w:szCs w:val="22"/>
        </w:rPr>
        <w:t xml:space="preserve">El presente documento describe la metodologia empleada en tres indicadores de calidad de agua implementados como evalscripts para la plataforma Sentinel Hub, compatibles con EO Browser y con la API de Sentinel Hub. Los scripts procesan imagenes multiespectrales del satelite Sentinel-2 (mision Copernicus de la ESA) para derivar parametros fisico-quimicos del agua de forma remota, sin necesidad de muestreo in situ.</w:t>
      </w:r>
    </w:p>
    <w:p>
      <w:pPr>
        <w:spacing w:after="120"/>
        <w:jc w:val="both"/>
      </w:pPr>
      <w:r>
        <w:rPr>
          <w:rFonts w:ascii="Arial" w:cs="Arial" w:eastAsia="Arial" w:hAnsi="Arial"/>
          <w:color w:val="2C3E50"/>
          <w:sz w:val="22"/>
          <w:szCs w:val="22"/>
        </w:rPr>
        <w:t xml:space="preserve">Los tres indicadores cubren aspectos complementarios de la calidad del agua:</w:t>
      </w:r>
    </w:p>
    <w:p>
      <w:pPr>
        <w:pStyle w:val="ListParagraph"/>
        <w:numPr>
          <w:ilvl w:val="0"/>
          <w:numId w:val="2"/>
        </w:numPr>
        <w:spacing w:after="60"/>
      </w:pPr>
      <w:r>
        <w:rPr>
          <w:rFonts w:ascii="Arial" w:cs="Arial" w:eastAsia="Arial" w:hAnsi="Arial"/>
          <w:color w:val="2C3E50"/>
          <w:sz w:val="22"/>
          <w:szCs w:val="22"/>
        </w:rPr>
        <w:t xml:space="preserve">Turbidez: cantidad de particulas en suspension que reducen la transparencia del agua.</w:t>
      </w:r>
    </w:p>
    <w:p>
      <w:pPr>
        <w:pStyle w:val="ListParagraph"/>
        <w:numPr>
          <w:ilvl w:val="0"/>
          <w:numId w:val="2"/>
        </w:numPr>
        <w:spacing w:after="60"/>
      </w:pPr>
      <w:r>
        <w:rPr>
          <w:rFonts w:ascii="Arial" w:cs="Arial" w:eastAsia="Arial" w:hAnsi="Arial"/>
          <w:color w:val="2C3E50"/>
          <w:sz w:val="22"/>
          <w:szCs w:val="22"/>
        </w:rPr>
        <w:t xml:space="preserve">Deteccion de masas de agua: clasificacion binaria agua/no-agua mediante umbrales espectrales.</w:t>
      </w:r>
    </w:p>
    <w:p>
      <w:pPr>
        <w:pStyle w:val="ListParagraph"/>
        <w:numPr>
          <w:ilvl w:val="0"/>
          <w:numId w:val="2"/>
        </w:numPr>
        <w:spacing w:after="60"/>
      </w:pPr>
      <w:r>
        <w:rPr>
          <w:rFonts w:ascii="Arial" w:cs="Arial" w:eastAsia="Arial" w:hAnsi="Arial"/>
          <w:color w:val="2C3E50"/>
          <w:sz w:val="22"/>
          <w:szCs w:val="22"/>
        </w:rPr>
        <w:t xml:space="preserve">Clorofila-a: concentracion de pigmentos fotosinteticos, indicador del estado trofico.</w:t>
      </w:r>
    </w:p>
    <w:p>
      <w:pPr>
        <w:spacing w:after="120"/>
        <w:jc w:val="both"/>
      </w:pPr>
      <w:r>
        <w:rPr>
          <w:rFonts w:ascii="Arial" w:cs="Arial" w:eastAsia="Arial" w:hAnsi="Arial"/>
          <w:color w:val="2C3E50"/>
          <w:sz w:val="22"/>
          <w:szCs w:val="22"/>
        </w:rPr>
        <w:t xml:space="preserve">Cada script utiliza el formato evalscript V3 de Sentinel Hub, que permite definir bandas de entrada, funciones de procesamiento pixel a pixel, y multiples salidas (visualizacion, estadisticas, mascara de datos).</w:t>
      </w:r>
    </w:p>
    <w:p>
      <w:r>
        <w:br w:type="page"/>
      </w:r>
    </w:p>
    <w:p>
      <w:pPr>
        <w:pStyle w:val="Heading1"/>
      </w:pPr>
      <w:r>
        <w:rPr>
          <w:rFonts w:ascii="Arial" w:cs="Arial" w:eastAsia="Arial" w:hAnsi="Arial"/>
        </w:rPr>
        <w:t xml:space="preserve">2. Water Turbidity Mapping</w:t>
      </w:r>
    </w:p>
    <w:p>
      <w:pPr>
        <w:pStyle w:val="Heading2"/>
      </w:pPr>
      <w:r>
        <w:rPr>
          <w:rFonts w:ascii="Arial" w:cs="Arial" w:eastAsia="Arial" w:hAnsi="Arial"/>
        </w:rPr>
        <w:t xml:space="preserve">2.1 Fundamento cientifico</w:t>
      </w:r>
    </w:p>
    <w:p>
      <w:pPr>
        <w:spacing w:after="120"/>
        <w:jc w:val="both"/>
      </w:pPr>
      <w:r>
        <w:rPr>
          <w:rFonts w:ascii="Arial" w:cs="Arial" w:eastAsia="Arial" w:hAnsi="Arial"/>
          <w:color w:val="2C3E50"/>
          <w:sz w:val="22"/>
          <w:szCs w:val="22"/>
        </w:rPr>
        <w:t xml:space="preserve">La turbidez del agua es una medida de la reduccion de transparencia causada por particulas en suspension (sedimentos, materia organica, fitoplancton). Se expresa en unidades nefelometricas de turbidez (NTU). La teledeteccion permite estimar la turbidez a partir de la reflectancia espectral del agua, ya que las particulas en suspension aumentan la reflectancia en las bandas visibles.</w:t>
      </w:r>
    </w:p>
    <w:p>
      <w:pPr>
        <w:spacing w:after="120"/>
        <w:jc w:val="both"/>
      </w:pPr>
      <w:r>
        <w:rPr>
          <w:rFonts w:ascii="Arial" w:cs="Arial" w:eastAsia="Arial" w:hAnsi="Arial"/>
          <w:color w:val="2C3E50"/>
          <w:sz w:val="22"/>
          <w:szCs w:val="22"/>
        </w:rPr>
        <w:t xml:space="preserve">Este script implementa el modelo empirico del proyecto Se2WaQ (Sentinel-2 Water Quality), desarrollado por Pereira (2020) a partir de datos in situ del embalse de Alqueva (Portugal). El modelo se basa en los trabajos de Potes et al. (2018) y Toming et al. (2016).</w:t>
      </w:r>
    </w:p>
    <w:p>
      <w:pPr>
        <w:pStyle w:val="Heading2"/>
      </w:pPr>
      <w:r>
        <w:rPr>
          <w:rFonts w:ascii="Arial" w:cs="Arial" w:eastAsia="Arial" w:hAnsi="Arial"/>
        </w:rPr>
        <w:t xml:space="preserve">2.2 Modelo empirico</w:t>
      </w:r>
    </w:p>
    <w:p>
      <w:pPr>
        <w:spacing w:after="120"/>
        <w:jc w:val="both"/>
      </w:pPr>
      <w:r>
        <w:rPr>
          <w:rFonts w:ascii="Arial" w:cs="Arial" w:eastAsia="Arial" w:hAnsi="Arial"/>
          <w:color w:val="2C3E50"/>
          <w:sz w:val="22"/>
          <w:szCs w:val="22"/>
        </w:rPr>
        <w:t xml:space="preserve">La turbidez se calcula mediante la relacion entre las bandas verde (B03, 560 nm) y aerosol costero (B01, 443 nm):</w:t>
      </w:r>
    </w:p>
    <w:p>
      <w:pPr>
        <w:spacing w:after="120" w:before="120"/>
        <w:jc w:val="center"/>
      </w:pPr>
      <w:r>
        <w:rPr>
          <w:rFonts w:ascii="Courier New" w:cs="Courier New" w:eastAsia="Courier New" w:hAnsi="Courier New"/>
          <w:b/>
          <w:bCs/>
          <w:color w:val="1B4F72"/>
          <w:sz w:val="24"/>
          <w:szCs w:val="24"/>
        </w:rPr>
        <w:t xml:space="preserve">Turb = 8.93 x (B03 / B01) - 6.39   [NTU]</w:t>
      </w:r>
    </w:p>
    <w:p>
      <w:pPr>
        <w:spacing w:after="120"/>
        <w:jc w:val="both"/>
      </w:pPr>
      <w:r>
        <w:rPr>
          <w:rFonts w:ascii="Arial" w:cs="Arial" w:eastAsia="Arial" w:hAnsi="Arial"/>
          <w:color w:val="2C3E50"/>
          <w:sz w:val="22"/>
          <w:szCs w:val="22"/>
        </w:rPr>
        <w:t xml:space="preserve">Donde B03 y B01 son las reflectancias de superficie (Bottom-of-Atmosphere) de Sentinel-2 L2A. El cociente B03/B01 es sensible a la concentracion de solidos en suspension: a mayor turbidez, mayor reflectancia relativa en verde respecto al azul profundo.</w:t>
      </w:r>
    </w:p>
    <w:p>
      <w:pPr>
        <w:pStyle w:val="Heading2"/>
      </w:pPr>
      <w:r>
        <w:rPr>
          <w:rFonts w:ascii="Arial" w:cs="Arial" w:eastAsia="Arial" w:hAnsi="Arial"/>
        </w:rPr>
        <w:t xml:space="preserve">2.3 Deteccion de agua</w:t>
      </w:r>
    </w:p>
    <w:p>
      <w:pPr>
        <w:spacing w:after="120"/>
        <w:jc w:val="both"/>
      </w:pPr>
      <w:r>
        <w:rPr>
          <w:rFonts w:ascii="Arial" w:cs="Arial" w:eastAsia="Arial" w:hAnsi="Arial"/>
          <w:color w:val="2C3E50"/>
          <w:sz w:val="22"/>
          <w:szCs w:val="22"/>
        </w:rPr>
        <w:t xml:space="preserve">Para separar pixeles de agua de pixeles terrestres, el script utiliza dos criterios combinados:</w:t>
      </w:r>
    </w:p>
    <w:p>
      <w:pPr>
        <w:pStyle w:val="ListParagraph"/>
        <w:numPr>
          <w:ilvl w:val="0"/>
          <w:numId w:val="2"/>
        </w:numPr>
        <w:spacing w:after="60"/>
      </w:pPr>
      <w:r>
        <w:rPr>
          <w:rFonts w:ascii="Arial" w:cs="Arial" w:eastAsia="Arial" w:hAnsi="Arial"/>
          <w:color w:val="2C3E50"/>
          <w:sz w:val="22"/>
          <w:szCs w:val="22"/>
        </w:rPr>
        <w:t xml:space="preserve">NDWI (Normalized Difference Water Index): (B03 - B08) / (B03 + B08) &gt; 0.0</w:t>
      </w:r>
    </w:p>
    <w:p>
      <w:pPr>
        <w:pStyle w:val="ListParagraph"/>
        <w:numPr>
          <w:ilvl w:val="0"/>
          <w:numId w:val="2"/>
        </w:numPr>
        <w:spacing w:after="60"/>
      </w:pPr>
      <w:r>
        <w:rPr>
          <w:rFonts w:ascii="Arial" w:cs="Arial" w:eastAsia="Arial" w:hAnsi="Arial"/>
          <w:color w:val="2C3E50"/>
          <w:sz w:val="22"/>
          <w:szCs w:val="22"/>
        </w:rPr>
        <w:t xml:space="preserve">SCL (Scene Classification Layer) de Sentinel-2 L2A: clase 6 = agua.</w:t>
      </w:r>
    </w:p>
    <w:p>
      <w:pPr>
        <w:spacing w:after="120"/>
        <w:jc w:val="both"/>
      </w:pPr>
      <w:r>
        <w:rPr>
          <w:rFonts w:ascii="Arial" w:cs="Arial" w:eastAsia="Arial" w:hAnsi="Arial"/>
          <w:color w:val="2C3E50"/>
          <w:sz w:val="22"/>
          <w:szCs w:val="22"/>
        </w:rPr>
        <w:t xml:space="preserve">Los pixeles de nubes (SCL clases 8 y 9) se muestran en gris. Los pixeles terrestres se representan en color verdadero (RGB).</w:t>
      </w:r>
    </w:p>
    <w:p>
      <w:pPr>
        <w:pStyle w:val="Heading2"/>
      </w:pPr>
      <w:r>
        <w:rPr>
          <w:rFonts w:ascii="Arial" w:cs="Arial" w:eastAsia="Arial" w:hAnsi="Arial"/>
        </w:rPr>
        <w:t xml:space="preserve">2.4 Escala de color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NTU</w:t>
            </w:r>
          </w:p>
        </w:tc>
        <w:tc>
          <w:tcPr>
            <w:tcW w:type="dxa" w:w="3009"/>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3009"/>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w:t>
            </w:r>
          </w:p>
        </w:tc>
      </w:tr>
      <w:tr>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0</w:t>
            </w:r>
          </w:p>
        </w:tc>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Agua limpia</w:t>
            </w:r>
          </w:p>
        </w:tc>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Azul</w:t>
            </w:r>
          </w:p>
        </w:tc>
      </w:tr>
      <w:tr>
        <w:tc>
          <w:tcPr>
            <w:tcW w:type="dxa" w:w="3008"/>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4</w:t>
            </w:r>
          </w:p>
        </w:tc>
        <w:tc>
          <w:tcPr>
            <w:tcW w:type="dxa" w:w="3009"/>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Turbidez baja</w:t>
            </w:r>
          </w:p>
        </w:tc>
        <w:tc>
          <w:tcPr>
            <w:tcW w:type="dxa" w:w="3009"/>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Verde</w:t>
            </w:r>
          </w:p>
        </w:tc>
      </w:tr>
      <w:tr>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8</w:t>
            </w:r>
          </w:p>
        </w:tc>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Turbidez moderada</w:t>
            </w:r>
          </w:p>
        </w:tc>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Amarillo</w:t>
            </w:r>
          </w:p>
        </w:tc>
      </w:tr>
      <w:tr>
        <w:tc>
          <w:tcPr>
            <w:tcW w:type="dxa" w:w="3008"/>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12</w:t>
            </w:r>
          </w:p>
        </w:tc>
        <w:tc>
          <w:tcPr>
            <w:tcW w:type="dxa" w:w="3009"/>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Turbidez alta</w:t>
            </w:r>
          </w:p>
        </w:tc>
        <w:tc>
          <w:tcPr>
            <w:tcW w:type="dxa" w:w="3009"/>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Rojo</w:t>
            </w:r>
          </w:p>
        </w:tc>
      </w:tr>
      <w:tr>
        <w:tc>
          <w:tcPr>
            <w:tcW w:type="dxa" w:w="3008"/>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16</w:t>
            </w:r>
          </w:p>
        </w:tc>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Turbidez muy alta</w:t>
            </w:r>
          </w:p>
        </w:tc>
        <w:tc>
          <w:tcPr>
            <w:tcW w:type="dxa" w:w="3009"/>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Rojo oscuro</w:t>
            </w:r>
          </w:p>
        </w:tc>
      </w:tr>
      <w:tr>
        <w:tc>
          <w:tcPr>
            <w:tcW w:type="dxa" w:w="3008"/>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20</w:t>
            </w:r>
          </w:p>
        </w:tc>
        <w:tc>
          <w:tcPr>
            <w:tcW w:type="dxa" w:w="3009"/>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Turbidez extrema</w:t>
            </w:r>
          </w:p>
        </w:tc>
        <w:tc>
          <w:tcPr>
            <w:tcW w:type="dxa" w:w="3009"/>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Purpura</w:t>
            </w:r>
          </w:p>
        </w:tc>
      </w:tr>
    </w:tbl>
    <w:p>
      <w:pPr>
        <w:pStyle w:val="Heading2"/>
      </w:pPr>
      <w:r>
        <w:rPr>
          <w:rFonts w:ascii="Arial" w:cs="Arial" w:eastAsia="Arial" w:hAnsi="Arial"/>
        </w:rPr>
        <w:t xml:space="preserve">2.5 Bandas de entrada</w:t>
      </w:r>
    </w:p>
    <w:p>
      <w:pPr>
        <w:spacing w:after="120"/>
        <w:jc w:val="both"/>
      </w:pPr>
      <w:r>
        <w:rPr>
          <w:rFonts w:ascii="Arial" w:cs="Arial" w:eastAsia="Arial" w:hAnsi="Arial"/>
          <w:color w:val="2C3E50"/>
          <w:sz w:val="22"/>
          <w:szCs w:val="22"/>
        </w:rPr>
        <w:t xml:space="preserve">B01 (Aerosol costero, 443 nm), B02 (Azul, 490 nm), B03 (Verde, 560 nm), B04 (Rojo, 665 nm), B08 (NIR, 842 nm), SCL, dataMask.</w:t>
      </w:r>
    </w:p>
    <w:p>
      <w:pPr>
        <w:pStyle w:val="Heading2"/>
      </w:pPr>
      <w:r>
        <w:rPr>
          <w:rFonts w:ascii="Arial" w:cs="Arial" w:eastAsia="Arial" w:hAnsi="Arial"/>
        </w:rPr>
        <w:t xml:space="preserve">2.6 Limitaciones</w:t>
      </w:r>
    </w:p>
    <w:p>
      <w:pPr>
        <w:pStyle w:val="ListParagraph"/>
        <w:numPr>
          <w:ilvl w:val="0"/>
          <w:numId w:val="2"/>
        </w:numPr>
        <w:spacing w:after="60"/>
      </w:pPr>
      <w:r>
        <w:rPr>
          <w:rFonts w:ascii="Arial" w:cs="Arial" w:eastAsia="Arial" w:hAnsi="Arial"/>
          <w:color w:val="2C3E50"/>
          <w:sz w:val="22"/>
          <w:szCs w:val="22"/>
        </w:rPr>
        <w:t xml:space="preserve">El modelo fue calibrado con datos del embalse de Alqueva; puede requerir ajuste para otras regiones.</w:t>
      </w:r>
    </w:p>
    <w:p>
      <w:pPr>
        <w:pStyle w:val="ListParagraph"/>
        <w:numPr>
          <w:ilvl w:val="0"/>
          <w:numId w:val="2"/>
        </w:numPr>
        <w:spacing w:after="60"/>
      </w:pPr>
      <w:r>
        <w:rPr>
          <w:rFonts w:ascii="Arial" w:cs="Arial" w:eastAsia="Arial" w:hAnsi="Arial"/>
          <w:color w:val="2C3E50"/>
          <w:sz w:val="22"/>
          <w:szCs w:val="22"/>
        </w:rPr>
        <w:t xml:space="preserve">Requiere imagenes L2A (reflectancia de superficie corregida atmosfericamente).</w:t>
      </w:r>
    </w:p>
    <w:p>
      <w:pPr>
        <w:pStyle w:val="ListParagraph"/>
        <w:numPr>
          <w:ilvl w:val="0"/>
          <w:numId w:val="2"/>
        </w:numPr>
        <w:spacing w:after="60"/>
      </w:pPr>
      <w:r>
        <w:rPr>
          <w:rFonts w:ascii="Arial" w:cs="Arial" w:eastAsia="Arial" w:hAnsi="Arial"/>
          <w:color w:val="2C3E50"/>
          <w:sz w:val="22"/>
          <w:szCs w:val="22"/>
        </w:rPr>
        <w:t xml:space="preserve">No es fiable en aguas muy profundas donde la reflectancia de fondo es despreciable.</w:t>
      </w:r>
    </w:p>
    <w:p>
      <w:pPr>
        <w:pStyle w:val="ListParagraph"/>
        <w:numPr>
          <w:ilvl w:val="0"/>
          <w:numId w:val="2"/>
        </w:numPr>
        <w:spacing w:after="60"/>
      </w:pPr>
      <w:r>
        <w:rPr>
          <w:rFonts w:ascii="Arial" w:cs="Arial" w:eastAsia="Arial" w:hAnsi="Arial"/>
          <w:color w:val="2C3E50"/>
          <w:sz w:val="22"/>
          <w:szCs w:val="22"/>
        </w:rPr>
        <w:t xml:space="preserve">Cobertura nubosa superior al 15% degrada la calidad del resultado.</w:t>
      </w:r>
    </w:p>
    <w:p>
      <w:r>
        <w:br w:type="page"/>
      </w:r>
    </w:p>
    <w:p>
      <w:pPr>
        <w:pStyle w:val="Heading1"/>
      </w:pPr>
      <w:r>
        <w:rPr>
          <w:rFonts w:ascii="Arial" w:cs="Arial" w:eastAsia="Arial" w:hAnsi="Arial"/>
        </w:rPr>
        <w:t xml:space="preserve">3. Water Thresholding</w:t>
      </w:r>
    </w:p>
    <w:p>
      <w:pPr>
        <w:pStyle w:val="Heading2"/>
      </w:pPr>
      <w:r>
        <w:rPr>
          <w:rFonts w:ascii="Arial" w:cs="Arial" w:eastAsia="Arial" w:hAnsi="Arial"/>
        </w:rPr>
        <w:t xml:space="preserve">3.1 Fundamento cientifico</w:t>
      </w:r>
    </w:p>
    <w:p>
      <w:pPr>
        <w:spacing w:after="120"/>
        <w:jc w:val="both"/>
      </w:pPr>
      <w:r>
        <w:rPr>
          <w:rFonts w:ascii="Arial" w:cs="Arial" w:eastAsia="Arial" w:hAnsi="Arial"/>
          <w:color w:val="2C3E50"/>
          <w:sz w:val="22"/>
          <w:szCs w:val="22"/>
        </w:rPr>
        <w:t xml:space="preserve">La deteccion de masas de agua mediante teledeteccion se basa en el contraste espectral entre agua y superficies terrestres. El agua absorbe fuertemente la radiacion infrarroja mientras refleja en el visible, lo que permite diferenciarla usando indices espectrales normalizados.</w:t>
      </w:r>
    </w:p>
    <w:p>
      <w:pPr>
        <w:spacing w:after="120"/>
        <w:jc w:val="both"/>
      </w:pPr>
      <w:r>
        <w:rPr>
          <w:rFonts w:ascii="Arial" w:cs="Arial" w:eastAsia="Arial" w:hAnsi="Arial"/>
          <w:color w:val="2C3E50"/>
          <w:sz w:val="22"/>
          <w:szCs w:val="22"/>
        </w:rPr>
        <w:t xml:space="preserve">Este script implementa el metodo SWBM (Simple Water Bodies Mapping), desarrollado por Gartner, que combina tres indices espectrales para maximizar la deteccion de agua en diferentes condiciones.</w:t>
      </w:r>
    </w:p>
    <w:p>
      <w:pPr>
        <w:pStyle w:val="Heading2"/>
      </w:pPr>
      <w:r>
        <w:rPr>
          <w:rFonts w:ascii="Arial" w:cs="Arial" w:eastAsia="Arial" w:hAnsi="Arial"/>
        </w:rPr>
        <w:t xml:space="preserve">3.2 Indices espectrales</w:t>
      </w:r>
    </w:p>
    <w:p>
      <w:pPr>
        <w:pStyle w:val="Heading3"/>
      </w:pPr>
      <w:r>
        <w:rPr>
          <w:rFonts w:ascii="Arial" w:cs="Arial" w:eastAsia="Arial" w:hAnsi="Arial"/>
        </w:rPr>
        <w:t xml:space="preserve">3.2.1 MNDWI (Modified Normalized Difference Water Index)</w:t>
      </w:r>
    </w:p>
    <w:p>
      <w:pPr>
        <w:spacing w:after="120" w:before="120"/>
        <w:jc w:val="center"/>
      </w:pPr>
      <w:r>
        <w:rPr>
          <w:rFonts w:ascii="Courier New" w:cs="Courier New" w:eastAsia="Courier New" w:hAnsi="Courier New"/>
          <w:b/>
          <w:bCs/>
          <w:color w:val="1B4F72"/>
          <w:sz w:val="24"/>
          <w:szCs w:val="24"/>
        </w:rPr>
        <w:t xml:space="preserve">MNDWI = (B03 - B11) / (B03 + B11)</w:t>
      </w:r>
    </w:p>
    <w:p>
      <w:pPr>
        <w:spacing w:after="120"/>
        <w:jc w:val="both"/>
      </w:pPr>
      <w:r>
        <w:rPr>
          <w:rFonts w:ascii="Arial" w:cs="Arial" w:eastAsia="Arial" w:hAnsi="Arial"/>
          <w:color w:val="2C3E50"/>
          <w:sz w:val="22"/>
          <w:szCs w:val="22"/>
        </w:rPr>
        <w:t xml:space="preserve">Propuesto por Xu (2006) como mejora del NDWI original. Utiliza la banda SWIR (B11, 1610 nm) en lugar del NIR, lo que mejora la supresion de ruido por suelo desnudo y vegetacion, y aumenta la precision en la deteccion de masas de agua abiertas. Umbral por defecto: 0.1.</w:t>
      </w:r>
    </w:p>
    <w:p>
      <w:pPr>
        <w:pStyle w:val="Heading3"/>
      </w:pPr>
      <w:r>
        <w:rPr>
          <w:rFonts w:ascii="Arial" w:cs="Arial" w:eastAsia="Arial" w:hAnsi="Arial"/>
        </w:rPr>
        <w:t xml:space="preserve">3.2.2 NDWI (Normalized Difference Water Index)</w:t>
      </w:r>
    </w:p>
    <w:p>
      <w:pPr>
        <w:spacing w:after="120" w:before="120"/>
        <w:jc w:val="center"/>
      </w:pPr>
      <w:r>
        <w:rPr>
          <w:rFonts w:ascii="Courier New" w:cs="Courier New" w:eastAsia="Courier New" w:hAnsi="Courier New"/>
          <w:b/>
          <w:bCs/>
          <w:color w:val="1B4F72"/>
          <w:sz w:val="24"/>
          <w:szCs w:val="24"/>
        </w:rPr>
        <w:t xml:space="preserve">NDWI = (B03 - B08) / (B03 + B08)</w:t>
      </w:r>
    </w:p>
    <w:p>
      <w:pPr>
        <w:spacing w:after="120"/>
        <w:jc w:val="both"/>
      </w:pPr>
      <w:r>
        <w:rPr>
          <w:rFonts w:ascii="Arial" w:cs="Arial" w:eastAsia="Arial" w:hAnsi="Arial"/>
          <w:color w:val="2C3E50"/>
          <w:sz w:val="22"/>
          <w:szCs w:val="22"/>
        </w:rPr>
        <w:t xml:space="preserve">Introducido por McFeeters (1996), es el indice original para la delineacion de masas de agua. Explota el contraste entre la reflectancia verde (B03, 560 nm) y la absorcion en el infrarrojo cercano (B08, 842 nm). Umbral por defecto: 0.2.</w:t>
      </w:r>
    </w:p>
    <w:p>
      <w:pPr>
        <w:pStyle w:val="Heading3"/>
      </w:pPr>
      <w:r>
        <w:rPr>
          <w:rFonts w:ascii="Arial" w:cs="Arial" w:eastAsia="Arial" w:hAnsi="Arial"/>
        </w:rPr>
        <w:t xml:space="preserve">3.2.3 SWI (Sentinel Water Index)</w:t>
      </w:r>
    </w:p>
    <w:p>
      <w:pPr>
        <w:spacing w:after="120" w:before="120"/>
        <w:jc w:val="center"/>
      </w:pPr>
      <w:r>
        <w:rPr>
          <w:rFonts w:ascii="Courier New" w:cs="Courier New" w:eastAsia="Courier New" w:hAnsi="Courier New"/>
          <w:b/>
          <w:bCs/>
          <w:color w:val="1B4F72"/>
          <w:sz w:val="24"/>
          <w:szCs w:val="24"/>
        </w:rPr>
        <w:t xml:space="preserve">SWI = (B05 - B11) / (B05 + B11)</w:t>
      </w:r>
    </w:p>
    <w:p>
      <w:pPr>
        <w:spacing w:after="120"/>
        <w:jc w:val="both"/>
      </w:pPr>
      <w:r>
        <w:rPr>
          <w:rFonts w:ascii="Arial" w:cs="Arial" w:eastAsia="Arial" w:hAnsi="Arial"/>
          <w:color w:val="2C3E50"/>
          <w:sz w:val="22"/>
          <w:szCs w:val="22"/>
        </w:rPr>
        <w:t xml:space="preserve">Indice especifico de Sentinel-2 que aprovecha la banda Red Edge 1 (B05, 705 nm). Complementa los otros indices en la deteccion de cuerpos de agua pequenos y aguas someras. Umbral por defecto: 0.03. Solo disponible para Sentinel-2.</w:t>
      </w:r>
    </w:p>
    <w:p>
      <w:pPr>
        <w:pStyle w:val="Heading2"/>
      </w:pPr>
      <w:r>
        <w:rPr>
          <w:rFonts w:ascii="Arial" w:cs="Arial" w:eastAsia="Arial" w:hAnsi="Arial"/>
        </w:rPr>
        <w:t xml:space="preserve">3.3 Logica de clasificacion</w:t>
      </w:r>
    </w:p>
    <w:p>
      <w:pPr>
        <w:spacing w:after="120"/>
        <w:jc w:val="both"/>
      </w:pPr>
      <w:r>
        <w:rPr>
          <w:rFonts w:ascii="Arial" w:cs="Arial" w:eastAsia="Arial" w:hAnsi="Arial"/>
          <w:color w:val="2C3E50"/>
          <w:sz w:val="22"/>
          <w:szCs w:val="22"/>
        </w:rPr>
        <w:t xml:space="preserve">Un pixel se clasifica como agua si CUALQUIERA de los tres indices supera su umbral respectivo (operacion logica OR). Esto maximiza la sensibilidad de deteccion, aunque puede generar falsos positivos que deben controlarse ajustando los umbrales por region.</w:t>
      </w:r>
    </w:p>
    <w:p>
      <w:pPr>
        <w:spacing w:after="120"/>
        <w:jc w:val="both"/>
      </w:pPr>
      <w:r>
        <w:rPr>
          <w:rFonts w:ascii="Arial" w:cs="Arial" w:eastAsia="Arial" w:hAnsi="Arial"/>
          <w:i/>
          <w:iCs/>
          <w:color w:val="2C3E50"/>
          <w:sz w:val="22"/>
          <w:szCs w:val="22"/>
        </w:rPr>
        <w:t xml:space="preserve">pixel_agua = (MNDWI &gt; 0.1) OR (NDWI &gt; 0.2) OR (SWI &gt; 0.03)</w:t>
      </w:r>
    </w:p>
    <w:p>
      <w:pPr>
        <w:pStyle w:val="Heading2"/>
      </w:pPr>
      <w:r>
        <w:rPr>
          <w:rFonts w:ascii="Arial" w:cs="Arial" w:eastAsia="Arial" w:hAnsi="Arial"/>
        </w:rPr>
        <w:t xml:space="preserve">3.4 Compatibilidad multi-sensor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Sensor</w:t>
            </w:r>
          </w:p>
        </w:tc>
        <w:tc>
          <w:tcPr>
            <w:tcW w:type="dxa" w:w="2256"/>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NIR</w:t>
            </w:r>
          </w:p>
        </w:tc>
        <w:tc>
          <w:tcPr>
            <w:tcW w:type="dxa" w:w="2257"/>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SWIR</w:t>
            </w:r>
          </w:p>
        </w:tc>
        <w:tc>
          <w:tcPr>
            <w:tcW w:type="dxa" w:w="2257"/>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Red Edge</w:t>
            </w:r>
          </w:p>
        </w:tc>
      </w:tr>
      <w:tr>
        <w:tc>
          <w:tcPr>
            <w:tcW w:type="dxa" w:w="225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2C3E50"/>
                <w:sz w:val="20"/>
                <w:szCs w:val="20"/>
              </w:rPr>
              <w:t xml:space="preserve">Sentinel-2 L2A</w:t>
            </w:r>
          </w:p>
        </w:tc>
        <w:tc>
          <w:tcPr>
            <w:tcW w:type="dxa" w:w="225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B08 (842 nm)</w:t>
            </w:r>
          </w:p>
        </w:tc>
        <w:tc>
          <w:tcPr>
            <w:tcW w:type="dxa" w:w="2257"/>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B11 (1610 nm)</w:t>
            </w:r>
          </w:p>
        </w:tc>
        <w:tc>
          <w:tcPr>
            <w:tcW w:type="dxa" w:w="2257"/>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B05 (705 nm)</w:t>
            </w:r>
          </w:p>
        </w:tc>
      </w:tr>
      <w:tr>
        <w:tc>
          <w:tcPr>
            <w:tcW w:type="dxa" w:w="2256"/>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r>
              <w:rPr>
                <w:rFonts w:ascii="Arial" w:cs="Arial" w:eastAsia="Arial" w:hAnsi="Arial"/>
                <w:b/>
                <w:bCs/>
                <w:color w:val="2C3E50"/>
                <w:sz w:val="20"/>
                <w:szCs w:val="20"/>
              </w:rPr>
              <w:t xml:space="preserve">Sentinel-2 L1C</w:t>
            </w:r>
          </w:p>
        </w:tc>
        <w:tc>
          <w:tcPr>
            <w:tcW w:type="dxa" w:w="2256"/>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B08 (842 nm)</w:t>
            </w:r>
          </w:p>
        </w:tc>
        <w:tc>
          <w:tcPr>
            <w:tcW w:type="dxa" w:w="2257"/>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B11 (1610 nm)</w:t>
            </w:r>
          </w:p>
        </w:tc>
        <w:tc>
          <w:tcPr>
            <w:tcW w:type="dxa" w:w="2257"/>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B05 (705 nm)</w:t>
            </w:r>
          </w:p>
        </w:tc>
      </w:tr>
      <w:tr>
        <w:tc>
          <w:tcPr>
            <w:tcW w:type="dxa" w:w="2256"/>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bCs/>
                <w:color w:val="2C3E50"/>
                <w:sz w:val="20"/>
                <w:szCs w:val="20"/>
              </w:rPr>
              <w:t xml:space="preserve">Landsat 8-9</w:t>
            </w:r>
          </w:p>
        </w:tc>
        <w:tc>
          <w:tcPr>
            <w:tcW w:type="dxa" w:w="225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B05 (865 nm)</w:t>
            </w:r>
          </w:p>
        </w:tc>
        <w:tc>
          <w:tcPr>
            <w:tcW w:type="dxa" w:w="2257"/>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B06 (1610 nm)</w:t>
            </w:r>
          </w:p>
        </w:tc>
        <w:tc>
          <w:tcPr>
            <w:tcW w:type="dxa" w:w="2257"/>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N/A</w:t>
            </w:r>
          </w:p>
        </w:tc>
      </w:tr>
    </w:tbl>
    <w:p>
      <w:pPr>
        <w:spacing w:after="120"/>
        <w:jc w:val="both"/>
      </w:pPr>
      <w:r>
        <w:rPr>
          <w:rFonts w:ascii="Arial" w:cs="Arial" w:eastAsia="Arial" w:hAnsi="Arial"/>
          <w:color w:val="2C3E50"/>
          <w:sz w:val="22"/>
          <w:szCs w:val="22"/>
        </w:rPr>
        <w:t xml:space="preserve">En Landsat 8-9, solo se utilizan MNDWI y NDWI (sin SWI), al no disponer de banda Red Edge.</w:t>
      </w:r>
    </w:p>
    <w:p>
      <w:pPr>
        <w:pStyle w:val="Heading2"/>
      </w:pPr>
      <w:r>
        <w:rPr>
          <w:rFonts w:ascii="Arial" w:cs="Arial" w:eastAsia="Arial" w:hAnsi="Arial"/>
        </w:rPr>
        <w:t xml:space="preserve">3.5 Calibracion de umbrales</w:t>
      </w:r>
    </w:p>
    <w:p>
      <w:pPr>
        <w:spacing w:after="120"/>
        <w:jc w:val="both"/>
      </w:pPr>
      <w:r>
        <w:rPr>
          <w:rFonts w:ascii="Arial" w:cs="Arial" w:eastAsia="Arial" w:hAnsi="Arial"/>
          <w:color w:val="2C3E50"/>
          <w:sz w:val="22"/>
          <w:szCs w:val="22"/>
        </w:rPr>
        <w:t xml:space="preserve">Los umbrales por defecto son valores conservadores que funcionan en la mayoria de escenarios. Sin embargo, se recomienda calibrarlos para cada zona de estudio utilizando la salida de histograma del script, que permite visualizar la distribucion de valores del indice seleccionado y determinar el umbral optimo para separar agua de tierra.</w:t>
      </w:r>
    </w:p>
    <w:p>
      <w:r>
        <w:br w:type="page"/>
      </w:r>
    </w:p>
    <w:p>
      <w:pPr>
        <w:pStyle w:val="Heading1"/>
      </w:pPr>
      <w:r>
        <w:rPr>
          <w:rFonts w:ascii="Arial" w:cs="Arial" w:eastAsia="Arial" w:hAnsi="Arial"/>
        </w:rPr>
        <w:t xml:space="preserve">4. Water Chlorophyll</w:t>
      </w:r>
    </w:p>
    <w:p>
      <w:pPr>
        <w:pStyle w:val="Heading2"/>
      </w:pPr>
      <w:r>
        <w:rPr>
          <w:rFonts w:ascii="Arial" w:cs="Arial" w:eastAsia="Arial" w:hAnsi="Arial"/>
        </w:rPr>
        <w:t xml:space="preserve">4.1 Fundamento cientifico</w:t>
      </w:r>
    </w:p>
    <w:p>
      <w:pPr>
        <w:spacing w:after="120"/>
        <w:jc w:val="both"/>
      </w:pPr>
      <w:r>
        <w:rPr>
          <w:rFonts w:ascii="Arial" w:cs="Arial" w:eastAsia="Arial" w:hAnsi="Arial"/>
          <w:color w:val="2C3E50"/>
          <w:sz w:val="22"/>
          <w:szCs w:val="22"/>
        </w:rPr>
        <w:t xml:space="preserve">La clorofila-a (Chl-a) es el principal pigmento fotosintetico del fitoplancton y constituye un indicador clave del estado trofico de los cuerpos de agua. Concentraciones elevadas de Chl-a estan asociadas a eutrofizacion y proliferacion de algas (blooms algales), fenomenos que degradan la calidad del agua y pueden generar toxinas perjudiciales para la salud humana y los ecosistemas acuaticos.</w:t>
      </w:r>
    </w:p>
    <w:p>
      <w:pPr>
        <w:spacing w:after="120"/>
        <w:jc w:val="both"/>
      </w:pPr>
      <w:r>
        <w:rPr>
          <w:rFonts w:ascii="Arial" w:cs="Arial" w:eastAsia="Arial" w:hAnsi="Arial"/>
          <w:color w:val="2C3E50"/>
          <w:sz w:val="22"/>
          <w:szCs w:val="22"/>
        </w:rPr>
        <w:t xml:space="preserve">La teledeteccion permite estimar la concentracion de Chl-a a traves de indices espectrales que explotan la absorcion en el rojo (665 nm) y el pico de reflectancia en el borde rojo (705 nm) causado por la fluorescencia de la clorofila.</w:t>
      </w:r>
    </w:p>
    <w:p>
      <w:pPr>
        <w:pStyle w:val="Heading2"/>
      </w:pPr>
      <w:r>
        <w:rPr>
          <w:rFonts w:ascii="Arial" w:cs="Arial" w:eastAsia="Arial" w:hAnsi="Arial"/>
        </w:rPr>
        <w:t xml:space="preserve">4.2 NDCI (Normalized Difference Chlorophyll Index)</w:t>
      </w:r>
    </w:p>
    <w:p>
      <w:pPr>
        <w:spacing w:after="120"/>
        <w:jc w:val="both"/>
      </w:pPr>
      <w:r>
        <w:rPr>
          <w:rFonts w:ascii="Arial" w:cs="Arial" w:eastAsia="Arial" w:hAnsi="Arial"/>
          <w:color w:val="2C3E50"/>
          <w:sz w:val="22"/>
          <w:szCs w:val="22"/>
        </w:rPr>
        <w:t xml:space="preserve">El NDCI fue propuesto por Mishra y Mishra (2012) como un modelo robusto para la estimacion remota de Chl-a en aguas turbias productivas (aguas de Caso 2). Su formula es:</w:t>
      </w:r>
    </w:p>
    <w:p>
      <w:pPr>
        <w:spacing w:after="120" w:before="120"/>
        <w:jc w:val="center"/>
      </w:pPr>
      <w:r>
        <w:rPr>
          <w:rFonts w:ascii="Courier New" w:cs="Courier New" w:eastAsia="Courier New" w:hAnsi="Courier New"/>
          <w:b/>
          <w:bCs/>
          <w:color w:val="1B4F72"/>
          <w:sz w:val="24"/>
          <w:szCs w:val="24"/>
        </w:rPr>
        <w:t xml:space="preserve">NDCI = (B05 - B04) / (B05 + B04)</w:t>
      </w:r>
    </w:p>
    <w:p>
      <w:pPr>
        <w:spacing w:after="120"/>
        <w:jc w:val="both"/>
      </w:pPr>
      <w:r>
        <w:rPr>
          <w:rFonts w:ascii="Arial" w:cs="Arial" w:eastAsia="Arial" w:hAnsi="Arial"/>
          <w:color w:val="2C3E50"/>
          <w:sz w:val="22"/>
          <w:szCs w:val="22"/>
        </w:rPr>
        <w:t xml:space="preserve">Donde B04 (665 nm) corresponde al maximo de absorcion de la clorofila-a, y B05 (705 nm) captura el pico de reflectancia del borde rojo, que es proporcional a la concentracion de Chl-a.</w:t>
      </w:r>
    </w:p>
    <w:p>
      <w:pPr>
        <w:pStyle w:val="Heading2"/>
      </w:pPr>
      <w:r>
        <w:rPr>
          <w:rFonts w:ascii="Arial" w:cs="Arial" w:eastAsia="Arial" w:hAnsi="Arial"/>
        </w:rPr>
        <w:t xml:space="preserve">4.3 Modelo empirico Chl-a (Se2WaQ)</w:t>
      </w:r>
    </w:p>
    <w:p>
      <w:pPr>
        <w:spacing w:after="120"/>
        <w:jc w:val="both"/>
      </w:pPr>
      <w:r>
        <w:rPr>
          <w:rFonts w:ascii="Arial" w:cs="Arial" w:eastAsia="Arial" w:hAnsi="Arial"/>
          <w:color w:val="2C3E50"/>
          <w:sz w:val="22"/>
          <w:szCs w:val="22"/>
        </w:rPr>
        <w:t xml:space="preserve">Adicionalmente, el script calcula una estimacion empirica de la concentracion de Chl-a en mg/m3, basada en el modelo Se2WaQ:</w:t>
      </w:r>
    </w:p>
    <w:p>
      <w:pPr>
        <w:spacing w:after="120" w:before="120"/>
        <w:jc w:val="center"/>
      </w:pPr>
      <w:r>
        <w:rPr>
          <w:rFonts w:ascii="Courier New" w:cs="Courier New" w:eastAsia="Courier New" w:hAnsi="Courier New"/>
          <w:b/>
          <w:bCs/>
          <w:color w:val="1B4F72"/>
          <w:sz w:val="24"/>
          <w:szCs w:val="24"/>
        </w:rPr>
        <w:t xml:space="preserve">Chl_a = 4.26 x (B03 / B01)^3.94   [mg/m3]</w:t>
      </w:r>
    </w:p>
    <w:p>
      <w:pPr>
        <w:spacing w:after="120"/>
        <w:jc w:val="both"/>
      </w:pPr>
      <w:r>
        <w:rPr>
          <w:rFonts w:ascii="Arial" w:cs="Arial" w:eastAsia="Arial" w:hAnsi="Arial"/>
          <w:color w:val="2C3E50"/>
          <w:sz w:val="22"/>
          <w:szCs w:val="22"/>
        </w:rPr>
        <w:t xml:space="preserve">Este modelo utiliza el cociente entre las bandas verde (B03, 560 nm) y aerosol costero (B01, 443 nm), y fue calibrado con datos in situ de embalses portugueses (Potes et al., 2018).</w:t>
      </w:r>
    </w:p>
    <w:p>
      <w:pPr>
        <w:pStyle w:val="Heading2"/>
      </w:pPr>
      <w:r>
        <w:rPr>
          <w:rFonts w:ascii="Arial" w:cs="Arial" w:eastAsia="Arial" w:hAnsi="Arial"/>
        </w:rPr>
        <w:t xml:space="preserve">4.4 Interpretacion del NDCI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NDCI</w:t>
            </w:r>
          </w:p>
        </w:tc>
        <w:tc>
          <w:tcPr>
            <w:tcW w:type="dxa" w:w="3513"/>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Interpretacion</w:t>
            </w:r>
          </w:p>
        </w:tc>
        <w:tc>
          <w:tcPr>
            <w:tcW w:type="dxa" w:w="3513"/>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 trofico</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&lt; -0.2</w:t>
            </w:r>
          </w:p>
        </w:tc>
        <w:tc>
          <w:tcPr>
            <w:tcW w:type="dxa" w:w="351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Clorofila muy baja</w:t>
            </w:r>
          </w:p>
        </w:tc>
        <w:tc>
          <w:tcPr>
            <w:tcW w:type="dxa" w:w="351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Oligotrofico (agua clara)</w:t>
            </w:r>
          </w:p>
        </w:tc>
      </w:tr>
      <w:tr>
        <w:tc>
          <w:tcPr>
            <w:tcW w:type="dxa" w:w="2000"/>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~0.0</w:t>
            </w:r>
          </w:p>
        </w:tc>
        <w:tc>
          <w:tcPr>
            <w:tcW w:type="dxa" w:w="3513"/>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Clorofila baja</w:t>
            </w:r>
          </w:p>
        </w:tc>
        <w:tc>
          <w:tcPr>
            <w:tcW w:type="dxa" w:w="3513"/>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Oligotrofico-Mesotrofico</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~0.2</w:t>
            </w:r>
          </w:p>
        </w:tc>
        <w:tc>
          <w:tcPr>
            <w:tcW w:type="dxa" w:w="351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Clorofila moderada</w:t>
            </w:r>
          </w:p>
        </w:tc>
        <w:tc>
          <w:tcPr>
            <w:tcW w:type="dxa" w:w="3513"/>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Mesotrofico-Eutrofico</w:t>
            </w:r>
          </w:p>
        </w:tc>
      </w:tr>
      <w:tr>
        <w:tc>
          <w:tcPr>
            <w:tcW w:type="dxa" w:w="2000"/>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&gt; 0.4</w:t>
            </w:r>
          </w:p>
        </w:tc>
        <w:tc>
          <w:tcPr>
            <w:tcW w:type="dxa" w:w="3513"/>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Clorofila alta / bloom algal</w:t>
            </w:r>
          </w:p>
        </w:tc>
        <w:tc>
          <w:tcPr>
            <w:tcW w:type="dxa" w:w="3513"/>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Hipereutrofico</w:t>
            </w:r>
          </w:p>
        </w:tc>
      </w:tr>
    </w:tbl>
    <w:p>
      <w:pPr>
        <w:pStyle w:val="Heading2"/>
      </w:pPr>
      <w:r>
        <w:rPr>
          <w:rFonts w:ascii="Arial" w:cs="Arial" w:eastAsia="Arial" w:hAnsi="Arial"/>
        </w:rPr>
        <w:t xml:space="preserve">4.5 Modos de visualizacion</w:t>
      </w:r>
    </w:p>
    <w:p>
      <w:pPr>
        <w:spacing w:after="120"/>
        <w:jc w:val="both"/>
      </w:pPr>
      <w:r>
        <w:rPr>
          <w:rFonts w:ascii="Arial" w:cs="Arial" w:eastAsia="Arial" w:hAnsi="Arial"/>
          <w:color w:val="2C3E50"/>
          <w:sz w:val="22"/>
          <w:szCs w:val="22"/>
        </w:rPr>
        <w:t xml:space="preserve">El script ofrece dos modos de visualizacion configurables:</w:t>
      </w:r>
    </w:p>
    <w:p>
      <w:pPr>
        <w:pStyle w:val="ListParagraph"/>
        <w:numPr>
          <w:ilvl w:val="0"/>
          <w:numId w:val="2"/>
        </w:numPr>
        <w:spacing w:after="60"/>
      </w:pPr>
      <w:r>
        <w:rPr>
          <w:rFonts w:ascii="Arial" w:cs="Arial" w:eastAsia="Arial" w:hAnsi="Arial"/>
          <w:color w:val="2C3E50"/>
          <w:sz w:val="22"/>
          <w:szCs w:val="22"/>
        </w:rPr>
        <w:t xml:space="preserve">Modo NDCI (por defecto): escala de color basada en el valor del indice NDCI (-0.2 a 0.4), desde azul oscuro (agua clara) hasta rojo oscuro (bloom algal).</w:t>
      </w:r>
    </w:p>
    <w:p>
      <w:pPr>
        <w:pStyle w:val="ListParagraph"/>
        <w:numPr>
          <w:ilvl w:val="0"/>
          <w:numId w:val="2"/>
        </w:numPr>
        <w:spacing w:after="60"/>
      </w:pPr>
      <w:r>
        <w:rPr>
          <w:rFonts w:ascii="Arial" w:cs="Arial" w:eastAsia="Arial" w:hAnsi="Arial"/>
          <w:color w:val="2C3E50"/>
          <w:sz w:val="22"/>
          <w:szCs w:val="22"/>
        </w:rPr>
        <w:t xml:space="preserve">Modo Chl-a: escala de color basada en la concentracion estimada de Chl-a (0-50 mg/m3), clasificando el agua desde oligotrofica (azul) hasta bloom algal (purpura).</w:t>
      </w:r>
    </w:p>
    <w:p>
      <w:pPr>
        <w:pStyle w:val="Heading2"/>
      </w:pPr>
      <w:r>
        <w:rPr>
          <w:rFonts w:ascii="Arial" w:cs="Arial" w:eastAsia="Arial" w:hAnsi="Arial"/>
        </w:rPr>
        <w:t xml:space="preserve">4.6 Aplicaciones</w:t>
      </w:r>
    </w:p>
    <w:p>
      <w:pPr>
        <w:pStyle w:val="ListParagraph"/>
        <w:numPr>
          <w:ilvl w:val="0"/>
          <w:numId w:val="2"/>
        </w:numPr>
        <w:spacing w:after="60"/>
      </w:pPr>
      <w:r>
        <w:rPr>
          <w:rFonts w:ascii="Arial" w:cs="Arial" w:eastAsia="Arial" w:hAnsi="Arial"/>
          <w:color w:val="2C3E50"/>
          <w:sz w:val="22"/>
          <w:szCs w:val="22"/>
        </w:rPr>
        <w:t xml:space="preserve">Monitoreo del estado trofico de lagos, embalses y aguas costeras.</w:t>
      </w:r>
    </w:p>
    <w:p>
      <w:pPr>
        <w:pStyle w:val="ListParagraph"/>
        <w:numPr>
          <w:ilvl w:val="0"/>
          <w:numId w:val="2"/>
        </w:numPr>
        <w:spacing w:after="60"/>
      </w:pPr>
      <w:r>
        <w:rPr>
          <w:rFonts w:ascii="Arial" w:cs="Arial" w:eastAsia="Arial" w:hAnsi="Arial"/>
          <w:color w:val="2C3E50"/>
          <w:sz w:val="22"/>
          <w:szCs w:val="22"/>
        </w:rPr>
        <w:t xml:space="preserve">Deteccion temprana de blooms algales (incluyendo cianobacterias potencialmente toxicas).</w:t>
      </w:r>
    </w:p>
    <w:p>
      <w:pPr>
        <w:pStyle w:val="ListParagraph"/>
        <w:numPr>
          <w:ilvl w:val="0"/>
          <w:numId w:val="2"/>
        </w:numPr>
        <w:spacing w:after="60"/>
      </w:pPr>
      <w:r>
        <w:rPr>
          <w:rFonts w:ascii="Arial" w:cs="Arial" w:eastAsia="Arial" w:hAnsi="Arial"/>
          <w:color w:val="2C3E50"/>
          <w:sz w:val="22"/>
          <w:szCs w:val="22"/>
        </w:rPr>
        <w:t xml:space="preserve">Evaluacion del impacto de la agricultura y la escorrentia urbana en la calidad del agua.</w:t>
      </w:r>
    </w:p>
    <w:p>
      <w:pPr>
        <w:pStyle w:val="ListParagraph"/>
        <w:numPr>
          <w:ilvl w:val="0"/>
          <w:numId w:val="2"/>
        </w:numPr>
        <w:spacing w:after="60"/>
      </w:pPr>
      <w:r>
        <w:rPr>
          <w:rFonts w:ascii="Arial" w:cs="Arial" w:eastAsia="Arial" w:hAnsi="Arial"/>
          <w:color w:val="2C3E50"/>
          <w:sz w:val="22"/>
          <w:szCs w:val="22"/>
        </w:rPr>
        <w:t xml:space="preserve">Seguimiento temporal de la eutrofizacion en cuencas hidrograficas.</w:t>
      </w:r>
    </w:p>
    <w:p>
      <w:r>
        <w:br w:type="page"/>
      </w:r>
    </w:p>
    <w:p>
      <w:pPr>
        <w:pStyle w:val="Heading1"/>
      </w:pPr>
      <w:r>
        <w:rPr>
          <w:rFonts w:ascii="Arial" w:cs="Arial" w:eastAsia="Arial" w:hAnsi="Arial"/>
        </w:rPr>
        <w:t xml:space="preserve">5. Bandas espectrales Sentinel-2 utilizadas</w:t>
      </w:r>
    </w:p>
    <w:p>
      <w:pPr>
        <w:spacing w:after="120"/>
        <w:jc w:val="both"/>
      </w:pPr>
      <w:r>
        <w:rPr>
          <w:rFonts w:ascii="Arial" w:cs="Arial" w:eastAsia="Arial" w:hAnsi="Arial"/>
          <w:color w:val="2C3E50"/>
          <w:sz w:val="22"/>
          <w:szCs w:val="22"/>
        </w:rPr>
        <w:t xml:space="preserve">Los tres scripts utilizan bandas del sensor MSI (MultiSpectral Instrument) del satelite Sentinel-2. A continuacion se detallan las bandas empleadas: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242"/>
        <w:gridCol w:w="1742"/>
        <w:gridCol w:w="2742"/>
      </w:tblGrid>
      <w:tr>
        <w:tc>
          <w:tcPr>
            <w:tcW w:type="dxa" w:w="1300"/>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Banda</w:t>
            </w:r>
          </w:p>
        </w:tc>
        <w:tc>
          <w:tcPr>
            <w:tcW w:type="dxa" w:w="3242"/>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w:t>
            </w:r>
          </w:p>
        </w:tc>
        <w:tc>
          <w:tcPr>
            <w:tcW w:type="dxa" w:w="1742"/>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Longitud de onda</w:t>
            </w:r>
          </w:p>
        </w:tc>
        <w:tc>
          <w:tcPr>
            <w:tcW w:type="dxa" w:w="2742"/>
            <w:tcBorders>
              <w:top w:val="single" w:color="BFBFBF" w:sz="1"/>
              <w:left w:val="single" w:color="BFBFBF" w:sz="1"/>
              <w:bottom w:val="single" w:color="BFBFBF" w:sz="1"/>
              <w:right w:val="single" w:color="BFBFBF"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Resolucion</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B01</w:t>
            </w:r>
          </w:p>
        </w:tc>
        <w:tc>
          <w:tcPr>
            <w:tcW w:type="dxa" w:w="32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Aerosol costero</w:t>
            </w:r>
          </w:p>
        </w:tc>
        <w:tc>
          <w:tcPr>
            <w:tcW w:type="dxa" w:w="17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443 nm</w:t>
            </w:r>
          </w:p>
        </w:tc>
        <w:tc>
          <w:tcPr>
            <w:tcW w:type="dxa" w:w="27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60 m</w:t>
            </w:r>
          </w:p>
        </w:tc>
      </w:tr>
      <w:tr>
        <w:tc>
          <w:tcPr>
            <w:tcW w:type="dxa" w:w="1300"/>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B02</w:t>
            </w:r>
          </w:p>
        </w:tc>
        <w:tc>
          <w:tcPr>
            <w:tcW w:type="dxa" w:w="32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Azul</w:t>
            </w:r>
          </w:p>
        </w:tc>
        <w:tc>
          <w:tcPr>
            <w:tcW w:type="dxa" w:w="17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490 nm</w:t>
            </w:r>
          </w:p>
        </w:tc>
        <w:tc>
          <w:tcPr>
            <w:tcW w:type="dxa" w:w="27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10 m</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B03</w:t>
            </w:r>
          </w:p>
        </w:tc>
        <w:tc>
          <w:tcPr>
            <w:tcW w:type="dxa" w:w="32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Verde</w:t>
            </w:r>
          </w:p>
        </w:tc>
        <w:tc>
          <w:tcPr>
            <w:tcW w:type="dxa" w:w="17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560 nm</w:t>
            </w:r>
          </w:p>
        </w:tc>
        <w:tc>
          <w:tcPr>
            <w:tcW w:type="dxa" w:w="27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10 m</w:t>
            </w:r>
          </w:p>
        </w:tc>
      </w:tr>
      <w:tr>
        <w:tc>
          <w:tcPr>
            <w:tcW w:type="dxa" w:w="1300"/>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B04</w:t>
            </w:r>
          </w:p>
        </w:tc>
        <w:tc>
          <w:tcPr>
            <w:tcW w:type="dxa" w:w="32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Rojo</w:t>
            </w:r>
          </w:p>
        </w:tc>
        <w:tc>
          <w:tcPr>
            <w:tcW w:type="dxa" w:w="17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665 nm</w:t>
            </w:r>
          </w:p>
        </w:tc>
        <w:tc>
          <w:tcPr>
            <w:tcW w:type="dxa" w:w="27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10 m</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B05</w:t>
            </w:r>
          </w:p>
        </w:tc>
        <w:tc>
          <w:tcPr>
            <w:tcW w:type="dxa" w:w="32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Red Edge 1 (Borde rojo)</w:t>
            </w:r>
          </w:p>
        </w:tc>
        <w:tc>
          <w:tcPr>
            <w:tcW w:type="dxa" w:w="17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705 nm</w:t>
            </w:r>
          </w:p>
        </w:tc>
        <w:tc>
          <w:tcPr>
            <w:tcW w:type="dxa" w:w="27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20 m</w:t>
            </w:r>
          </w:p>
        </w:tc>
      </w:tr>
      <w:tr>
        <w:tc>
          <w:tcPr>
            <w:tcW w:type="dxa" w:w="1300"/>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B08</w:t>
            </w:r>
          </w:p>
        </w:tc>
        <w:tc>
          <w:tcPr>
            <w:tcW w:type="dxa" w:w="32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NIR (Infrarrojo cercano)</w:t>
            </w:r>
          </w:p>
        </w:tc>
        <w:tc>
          <w:tcPr>
            <w:tcW w:type="dxa" w:w="17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842 nm</w:t>
            </w:r>
          </w:p>
        </w:tc>
        <w:tc>
          <w:tcPr>
            <w:tcW w:type="dxa" w:w="27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10 m</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B11</w:t>
            </w:r>
          </w:p>
        </w:tc>
        <w:tc>
          <w:tcPr>
            <w:tcW w:type="dxa" w:w="32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Arial" w:cs="Arial" w:eastAsia="Arial" w:hAnsi="Arial"/>
                <w:color w:val="2C3E50"/>
                <w:sz w:val="20"/>
                <w:szCs w:val="20"/>
              </w:rPr>
              <w:t xml:space="preserve">SWIR 1 (Infrarrojo de onda corta)</w:t>
            </w:r>
          </w:p>
        </w:tc>
        <w:tc>
          <w:tcPr>
            <w:tcW w:type="dxa" w:w="17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1610 nm</w:t>
            </w:r>
          </w:p>
        </w:tc>
        <w:tc>
          <w:tcPr>
            <w:tcW w:type="dxa" w:w="2742"/>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rFonts w:ascii="Arial" w:cs="Arial" w:eastAsia="Arial" w:hAnsi="Arial"/>
                <w:color w:val="2C3E50"/>
                <w:sz w:val="20"/>
                <w:szCs w:val="20"/>
              </w:rPr>
              <w:t xml:space="preserve">20 m</w:t>
            </w:r>
          </w:p>
        </w:tc>
      </w:tr>
      <w:tr>
        <w:tc>
          <w:tcPr>
            <w:tcW w:type="dxa" w:w="1300"/>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SCL</w:t>
            </w:r>
          </w:p>
        </w:tc>
        <w:tc>
          <w:tcPr>
            <w:tcW w:type="dxa" w:w="32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Scene Classification Layer</w:t>
            </w:r>
          </w:p>
        </w:tc>
        <w:tc>
          <w:tcPr>
            <w:tcW w:type="dxa" w:w="17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N/A</w:t>
            </w:r>
          </w:p>
        </w:tc>
        <w:tc>
          <w:tcPr>
            <w:tcW w:type="dxa" w:w="2742"/>
            <w:tcBorders>
              <w:top w:val="single" w:color="BFBFBF" w:sz="1"/>
              <w:left w:val="single" w:color="BFBFBF" w:sz="1"/>
              <w:bottom w:val="single" w:color="BFBFBF" w:sz="1"/>
              <w:right w:val="single" w:color="BFBFBF"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20 m (solo L2A)</w:t>
            </w:r>
          </w:p>
        </w:tc>
      </w:tr>
    </w:tbl>
    <w:p>
      <w:r>
        <w:br w:type="page"/>
      </w:r>
    </w:p>
    <w:p>
      <w:pPr>
        <w:pStyle w:val="Heading1"/>
      </w:pPr>
      <w:r>
        <w:rPr>
          <w:rFonts w:ascii="Arial" w:cs="Arial" w:eastAsia="Arial" w:hAnsi="Arial"/>
        </w:rPr>
        <w:t xml:space="preserve">6. Referencias bibliograficas</w:t>
      </w:r>
    </w:p>
    <w:p>
      <w:pPr>
        <w:spacing w:after="100"/>
        <w:ind w:left="480" w:hanging="480"/>
      </w:pPr>
      <w:r>
        <w:rPr>
          <w:rFonts w:ascii="Arial" w:cs="Arial" w:eastAsia="Arial" w:hAnsi="Arial"/>
          <w:b/>
          <w:bCs/>
          <w:color w:val="2C3E50"/>
          <w:sz w:val="20"/>
          <w:szCs w:val="20"/>
        </w:rPr>
        <w:t xml:space="preserve">[1]  </w:t>
      </w:r>
      <w:r>
        <w:rPr>
          <w:rFonts w:ascii="Arial" w:cs="Arial" w:eastAsia="Arial" w:hAnsi="Arial"/>
          <w:color w:val="2C3E50"/>
          <w:sz w:val="20"/>
          <w:szCs w:val="20"/>
        </w:rPr>
        <w:t xml:space="preserve">McFeeters, S. K. (1996). </w:t>
      </w:r>
      <w:r>
        <w:rPr>
          <w:rFonts w:ascii="Arial" w:cs="Arial" w:eastAsia="Arial" w:hAnsi="Arial"/>
          <w:i/>
          <w:iCs/>
          <w:color w:val="2C3E50"/>
          <w:sz w:val="20"/>
          <w:szCs w:val="20"/>
        </w:rPr>
        <w:t xml:space="preserve">The Use of the Normalized Difference Water Index (NDWI) in the Delineation of Open Water Features. </w:t>
      </w:r>
      <w:r>
        <w:rPr>
          <w:rFonts w:ascii="Arial" w:cs="Arial" w:eastAsia="Arial" w:hAnsi="Arial"/>
          <w:color w:val="2C3E50"/>
          <w:sz w:val="20"/>
          <w:szCs w:val="20"/>
        </w:rPr>
        <w:t xml:space="preserve">International Journal of Remote Sensing, 17(7), 1425-1432. DOI: 10.1080/01431169608948714</w:t>
      </w:r>
    </w:p>
    <w:p>
      <w:pPr>
        <w:spacing w:after="100"/>
        <w:ind w:left="480" w:hanging="480"/>
      </w:pPr>
      <w:r>
        <w:rPr>
          <w:rFonts w:ascii="Arial" w:cs="Arial" w:eastAsia="Arial" w:hAnsi="Arial"/>
          <w:b/>
          <w:bCs/>
          <w:color w:val="2C3E50"/>
          <w:sz w:val="20"/>
          <w:szCs w:val="20"/>
        </w:rPr>
        <w:t xml:space="preserve">[2]  </w:t>
      </w:r>
      <w:r>
        <w:rPr>
          <w:rFonts w:ascii="Arial" w:cs="Arial" w:eastAsia="Arial" w:hAnsi="Arial"/>
          <w:color w:val="2C3E50"/>
          <w:sz w:val="20"/>
          <w:szCs w:val="20"/>
        </w:rPr>
        <w:t xml:space="preserve">Xu, H. (2006). </w:t>
      </w:r>
      <w:r>
        <w:rPr>
          <w:rFonts w:ascii="Arial" w:cs="Arial" w:eastAsia="Arial" w:hAnsi="Arial"/>
          <w:i/>
          <w:iCs/>
          <w:color w:val="2C3E50"/>
          <w:sz w:val="20"/>
          <w:szCs w:val="20"/>
        </w:rPr>
        <w:t xml:space="preserve">Modification of Normalised Difference Water Index (NDWI) to Enhance Open Water Features in Remotely Sensed Imagery. </w:t>
      </w:r>
      <w:r>
        <w:rPr>
          <w:rFonts w:ascii="Arial" w:cs="Arial" w:eastAsia="Arial" w:hAnsi="Arial"/>
          <w:color w:val="2C3E50"/>
          <w:sz w:val="20"/>
          <w:szCs w:val="20"/>
        </w:rPr>
        <w:t xml:space="preserve">International Journal of Remote Sensing, 27(14), 3025-3033. DOI: 10.1080/01431160600589179</w:t>
      </w:r>
    </w:p>
    <w:p>
      <w:pPr>
        <w:spacing w:after="100"/>
        <w:ind w:left="480" w:hanging="480"/>
      </w:pPr>
      <w:r>
        <w:rPr>
          <w:rFonts w:ascii="Arial" w:cs="Arial" w:eastAsia="Arial" w:hAnsi="Arial"/>
          <w:b/>
          <w:bCs/>
          <w:color w:val="2C3E50"/>
          <w:sz w:val="20"/>
          <w:szCs w:val="20"/>
        </w:rPr>
        <w:t xml:space="preserve">[3]  </w:t>
      </w:r>
      <w:r>
        <w:rPr>
          <w:rFonts w:ascii="Arial" w:cs="Arial" w:eastAsia="Arial" w:hAnsi="Arial"/>
          <w:color w:val="2C3E50"/>
          <w:sz w:val="20"/>
          <w:szCs w:val="20"/>
        </w:rPr>
        <w:t xml:space="preserve">Mishra, S., &amp; Mishra, D. R. (2012). </w:t>
      </w:r>
      <w:r>
        <w:rPr>
          <w:rFonts w:ascii="Arial" w:cs="Arial" w:eastAsia="Arial" w:hAnsi="Arial"/>
          <w:i/>
          <w:iCs/>
          <w:color w:val="2C3E50"/>
          <w:sz w:val="20"/>
          <w:szCs w:val="20"/>
        </w:rPr>
        <w:t xml:space="preserve">Normalized Difference Chlorophyll Index: A Novel Model for Remote Estimation of Chlorophyll-a Concentration in Turbid Productive Waters. </w:t>
      </w:r>
      <w:r>
        <w:rPr>
          <w:rFonts w:ascii="Arial" w:cs="Arial" w:eastAsia="Arial" w:hAnsi="Arial"/>
          <w:color w:val="2C3E50"/>
          <w:sz w:val="20"/>
          <w:szCs w:val="20"/>
        </w:rPr>
        <w:t xml:space="preserve">Remote Sensing of Environment, 117, 394-406. DOI: 10.1016/j.rse.2011.10.016</w:t>
      </w:r>
    </w:p>
    <w:p>
      <w:pPr>
        <w:spacing w:after="100"/>
        <w:ind w:left="480" w:hanging="480"/>
      </w:pPr>
      <w:r>
        <w:rPr>
          <w:rFonts w:ascii="Arial" w:cs="Arial" w:eastAsia="Arial" w:hAnsi="Arial"/>
          <w:b/>
          <w:bCs/>
          <w:color w:val="2C3E50"/>
          <w:sz w:val="20"/>
          <w:szCs w:val="20"/>
        </w:rPr>
        <w:t xml:space="preserve">[4]  </w:t>
      </w:r>
      <w:r>
        <w:rPr>
          <w:rFonts w:ascii="Arial" w:cs="Arial" w:eastAsia="Arial" w:hAnsi="Arial"/>
          <w:color w:val="2C3E50"/>
          <w:sz w:val="20"/>
          <w:szCs w:val="20"/>
        </w:rPr>
        <w:t xml:space="preserve">Potes, M., Salgado, R., Costa, M. J., Morais, M., Bortoli, D., Kostadinov, I., &amp; Mamouri, R. E. (2018). </w:t>
      </w:r>
      <w:r>
        <w:rPr>
          <w:rFonts w:ascii="Arial" w:cs="Arial" w:eastAsia="Arial" w:hAnsi="Arial"/>
          <w:i/>
          <w:iCs/>
          <w:color w:val="2C3E50"/>
          <w:sz w:val="20"/>
          <w:szCs w:val="20"/>
        </w:rPr>
        <w:t xml:space="preserve">Use of Sentinel 2-MSI for Water Quality Monitoring at Alqueva Reservoir, Portugal. </w:t>
      </w:r>
      <w:r>
        <w:rPr>
          <w:rFonts w:ascii="Arial" w:cs="Arial" w:eastAsia="Arial" w:hAnsi="Arial"/>
          <w:color w:val="2C3E50"/>
          <w:sz w:val="20"/>
          <w:szCs w:val="20"/>
        </w:rPr>
        <w:t xml:space="preserve">Proceedings of the International Association of Hydrological Sciences, 380, 73-79. DOI: 10.5194/piahs-380-73-2018</w:t>
      </w:r>
    </w:p>
    <w:p>
      <w:pPr>
        <w:spacing w:after="100"/>
        <w:ind w:left="480" w:hanging="480"/>
      </w:pPr>
      <w:r>
        <w:rPr>
          <w:rFonts w:ascii="Arial" w:cs="Arial" w:eastAsia="Arial" w:hAnsi="Arial"/>
          <w:b/>
          <w:bCs/>
          <w:color w:val="2C3E50"/>
          <w:sz w:val="20"/>
          <w:szCs w:val="20"/>
        </w:rPr>
        <w:t xml:space="preserve">[5]  </w:t>
      </w:r>
      <w:r>
        <w:rPr>
          <w:rFonts w:ascii="Arial" w:cs="Arial" w:eastAsia="Arial" w:hAnsi="Arial"/>
          <w:color w:val="2C3E50"/>
          <w:sz w:val="20"/>
          <w:szCs w:val="20"/>
        </w:rPr>
        <w:t xml:space="preserve">Toming, K., Kutser, T., Laas, A., Sepp, M., Paavel, B., &amp; Noges, T. (2016). </w:t>
      </w:r>
      <w:r>
        <w:rPr>
          <w:rFonts w:ascii="Arial" w:cs="Arial" w:eastAsia="Arial" w:hAnsi="Arial"/>
          <w:i/>
          <w:iCs/>
          <w:color w:val="2C3E50"/>
          <w:sz w:val="20"/>
          <w:szCs w:val="20"/>
        </w:rPr>
        <w:t xml:space="preserve">First Experiences in Mapping Lake Water Quality Parameters with Sentinel-2 MSI Imagery. </w:t>
      </w:r>
      <w:r>
        <w:rPr>
          <w:rFonts w:ascii="Arial" w:cs="Arial" w:eastAsia="Arial" w:hAnsi="Arial"/>
          <w:color w:val="2C3E50"/>
          <w:sz w:val="20"/>
          <w:szCs w:val="20"/>
        </w:rPr>
        <w:t xml:space="preserve">Remote Sensing, 8(8), 640. DOI: 10.3390/rs8080640</w:t>
      </w:r>
    </w:p>
    <w:p>
      <w:pPr>
        <w:spacing w:after="100"/>
        <w:ind w:left="480" w:hanging="480"/>
      </w:pPr>
      <w:r>
        <w:rPr>
          <w:rFonts w:ascii="Arial" w:cs="Arial" w:eastAsia="Arial" w:hAnsi="Arial"/>
          <w:b/>
          <w:bCs/>
          <w:color w:val="2C3E50"/>
          <w:sz w:val="20"/>
          <w:szCs w:val="20"/>
        </w:rPr>
        <w:t xml:space="preserve">[6]  </w:t>
      </w:r>
      <w:r>
        <w:rPr>
          <w:rFonts w:ascii="Arial" w:cs="Arial" w:eastAsia="Arial" w:hAnsi="Arial"/>
          <w:color w:val="2C3E50"/>
          <w:sz w:val="20"/>
          <w:szCs w:val="20"/>
        </w:rPr>
        <w:t xml:space="preserve">Pereira, N. S. A. (2020). </w:t>
      </w:r>
      <w:r>
        <w:rPr>
          <w:rFonts w:ascii="Arial" w:cs="Arial" w:eastAsia="Arial" w:hAnsi="Arial"/>
          <w:i/>
          <w:iCs/>
          <w:color w:val="2C3E50"/>
          <w:sz w:val="20"/>
          <w:szCs w:val="20"/>
        </w:rPr>
        <w:t xml:space="preserve">Se2WaQ: Sentinel-2 Water Quality Script. </w:t>
      </w:r>
      <w:r>
        <w:rPr>
          <w:rFonts w:ascii="Arial" w:cs="Arial" w:eastAsia="Arial" w:hAnsi="Arial"/>
          <w:color w:val="2C3E50"/>
          <w:sz w:val="20"/>
          <w:szCs w:val="20"/>
        </w:rPr>
        <w:t xml:space="preserve">Sentinel Hub Custom Scripts Repository. Disponible en: https://custom-scripts.sentinel-hub.com/sentinel-2/se2waq/</w:t>
      </w:r>
    </w:p>
    <w:p>
      <w:pPr>
        <w:spacing w:after="100"/>
        <w:ind w:left="480" w:hanging="480"/>
      </w:pPr>
      <w:r>
        <w:rPr>
          <w:rFonts w:ascii="Arial" w:cs="Arial" w:eastAsia="Arial" w:hAnsi="Arial"/>
          <w:b/>
          <w:bCs/>
          <w:color w:val="2C3E50"/>
          <w:sz w:val="20"/>
          <w:szCs w:val="20"/>
        </w:rPr>
        <w:t xml:space="preserve">[7]  </w:t>
      </w:r>
      <w:r>
        <w:rPr>
          <w:rFonts w:ascii="Arial" w:cs="Arial" w:eastAsia="Arial" w:hAnsi="Arial"/>
          <w:color w:val="2C3E50"/>
          <w:sz w:val="20"/>
          <w:szCs w:val="20"/>
        </w:rPr>
        <w:t xml:space="preserve">Gartner, M. (2022). </w:t>
      </w:r>
      <w:r>
        <w:rPr>
          <w:rFonts w:ascii="Arial" w:cs="Arial" w:eastAsia="Arial" w:hAnsi="Arial"/>
          <w:i/>
          <w:iCs/>
          <w:color w:val="2C3E50"/>
          <w:sz w:val="20"/>
          <w:szCs w:val="20"/>
        </w:rPr>
        <w:t xml:space="preserve">Simple Water Bodies Mapping (SWBM). </w:t>
      </w:r>
      <w:r>
        <w:rPr>
          <w:rFonts w:ascii="Arial" w:cs="Arial" w:eastAsia="Arial" w:hAnsi="Arial"/>
          <w:color w:val="2C3E50"/>
          <w:sz w:val="20"/>
          <w:szCs w:val="20"/>
        </w:rPr>
        <w:t xml:space="preserve">Sentinel Hub Custom Scripts Repository. Disponible en: https://custom-scripts.sentinel-hub.com/sentinel-2/simple_water_bodies_mapping-swbm/</w:t>
      </w:r>
    </w:p>
    <w:p>
      <w:pPr>
        <w:spacing w:after="100"/>
        <w:ind w:left="480" w:hanging="480"/>
      </w:pPr>
      <w:r>
        <w:rPr>
          <w:rFonts w:ascii="Arial" w:cs="Arial" w:eastAsia="Arial" w:hAnsi="Arial"/>
          <w:b/>
          <w:bCs/>
          <w:color w:val="2C3E50"/>
          <w:sz w:val="20"/>
          <w:szCs w:val="20"/>
        </w:rPr>
        <w:t xml:space="preserve">[8]  </w:t>
      </w:r>
      <w:r>
        <w:rPr>
          <w:rFonts w:ascii="Arial" w:cs="Arial" w:eastAsia="Arial" w:hAnsi="Arial"/>
          <w:color w:val="2C3E50"/>
          <w:sz w:val="20"/>
          <w:szCs w:val="20"/>
        </w:rPr>
        <w:t xml:space="preserve">European Space Agency (2015). </w:t>
      </w:r>
      <w:r>
        <w:rPr>
          <w:rFonts w:ascii="Arial" w:cs="Arial" w:eastAsia="Arial" w:hAnsi="Arial"/>
          <w:i/>
          <w:iCs/>
          <w:color w:val="2C3E50"/>
          <w:sz w:val="20"/>
          <w:szCs w:val="20"/>
        </w:rPr>
        <w:t xml:space="preserve">Sentinel-2 User Handbook. </w:t>
      </w:r>
      <w:r>
        <w:rPr>
          <w:rFonts w:ascii="Arial" w:cs="Arial" w:eastAsia="Arial" w:hAnsi="Arial"/>
          <w:color w:val="2C3E50"/>
          <w:sz w:val="20"/>
          <w:szCs w:val="20"/>
        </w:rPr>
        <w:t xml:space="preserve">ESA Standard Document, Issue 1, Rev. 2. Disponible en: https://sentinels.copernicus.eu/</w:t>
      </w:r>
    </w:p>
    <w:p>
      <w:pPr>
        <w:spacing w:after="100"/>
        <w:ind w:left="480" w:hanging="480"/>
      </w:pPr>
      <w:r>
        <w:rPr>
          <w:rFonts w:ascii="Arial" w:cs="Arial" w:eastAsia="Arial" w:hAnsi="Arial"/>
          <w:b/>
          <w:bCs/>
          <w:color w:val="2C3E50"/>
          <w:sz w:val="20"/>
          <w:szCs w:val="20"/>
        </w:rPr>
        <w:t xml:space="preserve">[9]  </w:t>
      </w:r>
      <w:r>
        <w:rPr>
          <w:rFonts w:ascii="Arial" w:cs="Arial" w:eastAsia="Arial" w:hAnsi="Arial"/>
          <w:color w:val="2C3E50"/>
          <w:sz w:val="20"/>
          <w:szCs w:val="20"/>
        </w:rPr>
        <w:t xml:space="preserve">Drusch, M., Del Bello, U., Carlier, S., Colin, O., Fernandez, V., Gascon, F., ... &amp; Bargellini, P. (2012). </w:t>
      </w:r>
      <w:r>
        <w:rPr>
          <w:rFonts w:ascii="Arial" w:cs="Arial" w:eastAsia="Arial" w:hAnsi="Arial"/>
          <w:i/>
          <w:iCs/>
          <w:color w:val="2C3E50"/>
          <w:sz w:val="20"/>
          <w:szCs w:val="20"/>
        </w:rPr>
        <w:t xml:space="preserve">Sentinel-2: ESA's Optical High-Resolution Mission for GMES Operational Services. </w:t>
      </w:r>
      <w:r>
        <w:rPr>
          <w:rFonts w:ascii="Arial" w:cs="Arial" w:eastAsia="Arial" w:hAnsi="Arial"/>
          <w:color w:val="2C3E50"/>
          <w:sz w:val="20"/>
          <w:szCs w:val="20"/>
        </w:rPr>
        <w:t xml:space="preserve">Remote Sensing of Environment, 120, 25-36. DOI: 10.1016/j.rse.2011.11.026</w:t>
      </w:r>
    </w:p>
    <w:p>
      <w:pPr>
        <w:spacing w:after="100"/>
        <w:ind w:left="480" w:hanging="480"/>
      </w:pPr>
      <w:r>
        <w:rPr>
          <w:rFonts w:ascii="Arial" w:cs="Arial" w:eastAsia="Arial" w:hAnsi="Arial"/>
          <w:b/>
          <w:bCs/>
          <w:color w:val="2C3E50"/>
          <w:sz w:val="20"/>
          <w:szCs w:val="20"/>
        </w:rPr>
        <w:t xml:space="preserve">[10] </w:t>
      </w:r>
      <w:r>
        <w:rPr>
          <w:rFonts w:ascii="Arial" w:cs="Arial" w:eastAsia="Arial" w:hAnsi="Arial"/>
          <w:color w:val="2C3E50"/>
          <w:sz w:val="20"/>
          <w:szCs w:val="20"/>
        </w:rPr>
        <w:t xml:space="preserve">Carlson, R. E. (1977). </w:t>
      </w:r>
      <w:r>
        <w:rPr>
          <w:rFonts w:ascii="Arial" w:cs="Arial" w:eastAsia="Arial" w:hAnsi="Arial"/>
          <w:i/>
          <w:iCs/>
          <w:color w:val="2C3E50"/>
          <w:sz w:val="20"/>
          <w:szCs w:val="20"/>
        </w:rPr>
        <w:t xml:space="preserve">A Trophic State Index for Lakes. </w:t>
      </w:r>
      <w:r>
        <w:rPr>
          <w:rFonts w:ascii="Arial" w:cs="Arial" w:eastAsia="Arial" w:hAnsi="Arial"/>
          <w:color w:val="2C3E50"/>
          <w:sz w:val="20"/>
          <w:szCs w:val="20"/>
        </w:rPr>
        <w:t xml:space="preserve">Limnology and Oceanography, 22(2), 361-369. DOI: 10.4319/lo.1977.22.2.0361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WildSquare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2026-03-19T09:06:46.588Z</dcterms:created>
  <dcterms:modified xsi:type="dcterms:W3CDTF">2026-03-19T09:06:46.590Z</dcterms:modified>
</cp:coreProperties>
</file>

<file path=docProps/custom.xml><?xml version="1.0" encoding="utf-8"?>
<Properties xmlns="http://schemas.openxmlformats.org/officeDocument/2006/custom-properties" xmlns:vt="http://schemas.openxmlformats.org/officeDocument/2006/docPropsVTypes"/>
</file>