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
        <w:rPr>
          <w:rFonts w:ascii="Aptos" w:hAnsi="Aptos" w:eastAsia="Aptos"/>
          <w:b/>
          <w:sz w:val="21"/>
        </w:rPr>
        <w:t>Approach Overview</w:t>
      </w:r>
    </w:p>
    <w:p>
      <w:pPr>
        <w:spacing w:after="120"/>
      </w:pPr>
      <w:r>
        <w:rPr>
          <w:rFonts w:ascii="Aptos" w:hAnsi="Aptos" w:eastAsia="Aptos"/>
          <w:sz w:val="21"/>
        </w:rPr>
        <w:t>A production-style machine learning pipeline was developed to predict credit card default risk. The pipeline combines behavioral and financial feature engineering with AutoGluon TabularPredictor, using binary log loss as the evaluation metric. AutoGluon is configured for high-quality model selection, 10-fold bagging, and dynamic stacking to improve the stability and quality of probability predictions.</w:t>
      </w:r>
    </w:p>
    <w:p>
      <w:r>
        <w:rPr>
          <w:rFonts w:ascii="Aptos" w:hAnsi="Aptos" w:eastAsia="Aptos"/>
          <w:b/>
          <w:sz w:val="21"/>
        </w:rPr>
        <w:t>Data Cleaning and Preprocessing</w:t>
      </w:r>
    </w:p>
    <w:p>
      <w:pPr>
        <w:spacing w:after="120"/>
      </w:pPr>
      <w:r>
        <w:rPr>
          <w:rFonts w:ascii="Aptos" w:hAnsi="Aptos" w:eastAsia="Aptos"/>
          <w:sz w:val="21"/>
        </w:rPr>
        <w:t>Data Loading: The pipeline loads train.csv and test.csv, using the default column as the binary target and retaining client_id for the final submission.</w:t>
      </w:r>
    </w:p>
    <w:p>
      <w:pPr>
        <w:spacing w:after="120"/>
      </w:pPr>
      <w:r>
        <w:rPr>
          <w:rFonts w:ascii="Aptos" w:hAnsi="Aptos" w:eastAsia="Aptos"/>
          <w:sz w:val="21"/>
        </w:rPr>
        <w:t>Categorical Value Correction: Inconsistent EDUCATION values {0, 5, 6} are mapped to 4, while MARRIAGE value 0 is mapped to 3.</w:t>
      </w:r>
    </w:p>
    <w:p>
      <w:pPr>
        <w:spacing w:after="120"/>
      </w:pPr>
      <w:r>
        <w:rPr>
          <w:rFonts w:ascii="Aptos" w:hAnsi="Aptos" w:eastAsia="Aptos"/>
          <w:sz w:val="21"/>
        </w:rPr>
        <w:t>Invalid and Missing Values: Infinite numerical values are converted to NaN and all resulting missing values are filled with zero before model training.</w:t>
      </w:r>
    </w:p>
    <w:p>
      <w:r>
        <w:rPr>
          <w:rFonts w:ascii="Aptos" w:hAnsi="Aptos" w:eastAsia="Aptos"/>
          <w:b/>
          <w:sz w:val="21"/>
        </w:rPr>
        <w:t>Feature Engineering</w:t>
      </w:r>
    </w:p>
    <w:p>
      <w:pPr>
        <w:spacing w:after="120"/>
      </w:pPr>
      <w:r>
        <w:rPr>
          <w:rFonts w:ascii="Aptos" w:hAnsi="Aptos" w:eastAsia="Aptos"/>
          <w:sz w:val="21"/>
        </w:rPr>
        <w:t>The feature engineering module expands the original credit-card variables with behavioral, billing, payment, utilization, trajectory, interaction, and log-transformed financial features.</w:t>
      </w:r>
    </w:p>
    <w:p>
      <w:pPr>
        <w:spacing w:after="120"/>
      </w:pPr>
      <w:r>
        <w:rPr>
          <w:rFonts w:ascii="Aptos" w:hAnsi="Aptos" w:eastAsia="Aptos"/>
          <w:sz w:val="21"/>
        </w:rPr>
        <w:t>Repayment Behavior: Computes PAY_max, PAY_mean, bad and clear repayment-status counts, recent changes, severe delinquency indicators, consecutive bad-payment streaks, and a recent-versus-older repayment trend.</w:t>
      </w:r>
    </w:p>
    <w:p>
      <w:pPr>
        <w:spacing w:after="120"/>
      </w:pPr>
      <w:r>
        <w:rPr>
          <w:rFonts w:ascii="Aptos" w:hAnsi="Aptos" w:eastAsia="Aptos"/>
          <w:sz w:val="21"/>
        </w:rPr>
        <w:t>Bill Statistics and Utilization: Computes bill mean, maximum, minimum, median, standard deviation, month-to-month differences, recent-versus-older bill changes, bill-to-limit ratios, and bill volatility.</w:t>
      </w:r>
    </w:p>
    <w:p>
      <w:pPr>
        <w:spacing w:after="120"/>
      </w:pPr>
      <w:r>
        <w:rPr>
          <w:rFonts w:ascii="Aptos" w:hAnsi="Aptos" w:eastAsia="Aptos"/>
          <w:sz w:val="21"/>
        </w:rPr>
        <w:t>Payment Intensity and Coverage: Computes total, mean, minimum, and median payments, zero-payment counts, payment-to-bill ratios, recent payment coverage, implied recent spending, monthly utilization, and payment coverage ratios.</w:t>
      </w:r>
    </w:p>
    <w:p>
      <w:pPr>
        <w:spacing w:after="120"/>
      </w:pPr>
      <w:r>
        <w:rPr>
          <w:rFonts w:ascii="Aptos" w:hAnsi="Aptos" w:eastAsia="Aptos"/>
          <w:sz w:val="21"/>
        </w:rPr>
        <w:t>Behavioral Trajectories: Tracks consecutive increasing bills, low payment coverage below 30%, decreasing payments, zero-payment months, and persistent high or extreme utilization above 70% and 90%.</w:t>
      </w:r>
    </w:p>
    <w:p>
      <w:pPr>
        <w:spacing w:after="120"/>
      </w:pPr>
      <w:r>
        <w:rPr>
          <w:rFonts w:ascii="Aptos" w:hAnsi="Aptos" w:eastAsia="Aptos"/>
          <w:sz w:val="21"/>
        </w:rPr>
        <w:t>Risk Interactions and Transformations: Adds interaction features such as HIGH_UTIL_LOW_COVER, BADCOUNT_x_UTILMAX, PAYMAX_x_UTILMAX, and SEVERE_x_ZEROSTREAK, together with signed LOGABS_ transformations for LIMIT_BAL, bill amounts, and payment amounts.</w:t>
      </w:r>
    </w:p>
    <w:p>
      <w:r>
        <w:rPr>
          <w:rFonts w:ascii="Aptos" w:hAnsi="Aptos" w:eastAsia="Aptos"/>
          <w:b/>
          <w:sz w:val="21"/>
        </w:rPr>
        <w:t>Model Training and Validation</w:t>
      </w:r>
    </w:p>
    <w:p>
      <w:pPr>
        <w:spacing w:after="120"/>
      </w:pPr>
      <w:r>
        <w:rPr>
          <w:rFonts w:ascii="Aptos" w:hAnsi="Aptos" w:eastAsia="Aptos"/>
          <w:sz w:val="21"/>
        </w:rPr>
        <w:t>The final pipeline uses AutoGluon TabularPredictor for binary classification with log_loss as the optimization metric. The predictor is trained with the best_quality preset, a 1,200-second time limit, 10-fold bagging, and dynamic stacking. AutoGluon therefore performs automated model selection and ensemble construction rather than manually specifying a fixed set of XGBoost, LightGBM, CatBoost, or ExtraTrees models.</w:t>
      </w:r>
    </w:p>
    <w:p>
      <w:r>
        <w:rPr>
          <w:rFonts w:ascii="Aptos" w:hAnsi="Aptos" w:eastAsia="Aptos"/>
          <w:b/>
          <w:sz w:val="21"/>
        </w:rPr>
        <w:t>Prediction and Post-Processing</w:t>
      </w:r>
    </w:p>
    <w:p>
      <w:pPr>
        <w:spacing w:after="120"/>
      </w:pPr>
      <w:r>
        <w:rPr>
          <w:rFonts w:ascii="Aptos" w:hAnsi="Aptos" w:eastAsia="Aptos"/>
          <w:sz w:val="21"/>
        </w:rPr>
        <w:t>After training, the pipeline generates positive-class probability predictions for the test set using AutoGluon's predict_proba method. The final probabilities are clipped to the interval [10^-6, 1 - 10^-6] to prevent numerical instability in log-loss evaluation. The resulting probabilities are combined with the original client_id values and written to submission.csv.</w:t>
      </w:r>
    </w:p>
    <w:p>
      <w:r>
        <w:rPr>
          <w:rFonts w:ascii="Aptos" w:hAnsi="Aptos" w:eastAsia="Aptos"/>
          <w:b/>
          <w:sz w:val="21"/>
        </w:rPr>
        <w:t>Key Results, Observations, and Limitations</w:t>
      </w:r>
    </w:p>
    <w:p>
      <w:pPr>
        <w:spacing w:after="120"/>
      </w:pPr>
      <w:r>
        <w:rPr>
          <w:rFonts w:ascii="Aptos" w:hAnsi="Aptos" w:eastAsia="Aptos"/>
          <w:sz w:val="21"/>
        </w:rPr>
        <w:t>Pipeline Output: The current code produces an AutoGluon leaderboard during training and generates a final submission file named submission.csv. The supplied pipeline code does not hard-code a final Log Loss, AUC, Brier Score, feature-importance ranking, or externally evaluated test score, so these metrics are not reported here as results of the current version.</w:t>
      </w:r>
    </w:p>
    <w:p>
      <w:pPr>
        <w:spacing w:after="120"/>
      </w:pPr>
      <w:r>
        <w:rPr>
          <w:rFonts w:ascii="Aptos" w:hAnsi="Aptos" w:eastAsia="Aptos"/>
          <w:sz w:val="21"/>
        </w:rPr>
        <w:t>Key Design Choice: The current version prioritizes probability quality through log-loss optimization, automated model selection, bagging, and dynamic stacking.</w:t>
      </w:r>
    </w:p>
    <w:p>
      <w:pPr>
        <w:spacing w:after="120"/>
      </w:pPr>
      <w:r>
        <w:rPr>
          <w:rFonts w:ascii="Aptos" w:hAnsi="Aptos" w:eastAsia="Aptos"/>
          <w:sz w:val="21"/>
        </w:rPr>
        <w:t>Limitations: Final predictive performance depends on the models selected by AutoGluon within the available training time. The pipeline also relies on historical repayment, billing, payment, and utilization patterns, so performance may degrade under distribution shifts or sudden changes in customer behavior.</w:t>
      </w:r>
    </w:p>
    <w:p>
      <w:r>
        <w:rPr>
          <w:rFonts w:ascii="Aptos" w:hAnsi="Aptos" w:eastAsia="Aptos"/>
          <w:b/>
          <w:sz w:val="21"/>
        </w:rPr>
        <w:t>Acknowledgements</w:t>
      </w:r>
    </w:p>
    <w:p>
      <w:pPr>
        <w:spacing w:after="120"/>
      </w:pPr>
      <w:r>
        <w:rPr>
          <w:rFonts w:ascii="Aptos" w:hAnsi="Aptos" w:eastAsia="Aptos"/>
          <w:sz w:val="21"/>
        </w:rPr>
        <w:t>We gratefully acknowledge the use of AI assistants, including ChatGPT and Claude, to help optimize the previous pipeline and explore potential model improvements.</w:t>
      </w:r>
    </w:p>
    <w:sectPr w:rsidR="00290467" w:rsidRPr="00174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DBC1190"/>
    <w:multiLevelType w:val="multilevel"/>
    <w:tmpl w:val="FEFC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552011"/>
    <w:multiLevelType w:val="multilevel"/>
    <w:tmpl w:val="8B1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2F15AC"/>
    <w:multiLevelType w:val="multilevel"/>
    <w:tmpl w:val="18FE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34332E3"/>
    <w:multiLevelType w:val="multilevel"/>
    <w:tmpl w:val="BA7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940D3"/>
    <w:multiLevelType w:val="multilevel"/>
    <w:tmpl w:val="412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D9199B"/>
    <w:multiLevelType w:val="multilevel"/>
    <w:tmpl w:val="2F30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1151545">
    <w:abstractNumId w:val="1"/>
  </w:num>
  <w:num w:numId="2" w16cid:durableId="1109203784">
    <w:abstractNumId w:val="4"/>
  </w:num>
  <w:num w:numId="3" w16cid:durableId="1227572431">
    <w:abstractNumId w:val="0"/>
  </w:num>
  <w:num w:numId="4" w16cid:durableId="1712998614">
    <w:abstractNumId w:val="3"/>
  </w:num>
  <w:num w:numId="5" w16cid:durableId="1412313791">
    <w:abstractNumId w:val="5"/>
  </w:num>
  <w:num w:numId="6" w16cid:durableId="695083343">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67"/>
    <w:rsid w:val="00174AA9"/>
    <w:rsid w:val="00290467"/>
    <w:rsid w:val="004D3157"/>
    <w:rsid w:val="008D3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726D52C"/>
  <w15:chartTrackingRefBased/>
  <w15:docId w15:val="{BFB626C0-8EF8-C64D-9DF5-86347FC30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4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4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4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4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4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4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4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4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4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4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467"/>
    <w:rPr>
      <w:rFonts w:eastAsiaTheme="majorEastAsia" w:cstheme="majorBidi"/>
      <w:color w:val="272727" w:themeColor="text1" w:themeTint="D8"/>
    </w:rPr>
  </w:style>
  <w:style w:type="paragraph" w:styleId="Title">
    <w:name w:val="Title"/>
    <w:basedOn w:val="Normal"/>
    <w:next w:val="Normal"/>
    <w:link w:val="TitleChar"/>
    <w:uiPriority w:val="10"/>
    <w:qFormat/>
    <w:rsid w:val="00290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467"/>
    <w:pPr>
      <w:spacing w:before="160"/>
      <w:jc w:val="center"/>
    </w:pPr>
    <w:rPr>
      <w:i/>
      <w:iCs/>
      <w:color w:val="404040" w:themeColor="text1" w:themeTint="BF"/>
    </w:rPr>
  </w:style>
  <w:style w:type="character" w:customStyle="1" w:styleId="QuoteChar">
    <w:name w:val="Quote Char"/>
    <w:basedOn w:val="DefaultParagraphFont"/>
    <w:link w:val="Quote"/>
    <w:uiPriority w:val="29"/>
    <w:rsid w:val="00290467"/>
    <w:rPr>
      <w:i/>
      <w:iCs/>
      <w:color w:val="404040" w:themeColor="text1" w:themeTint="BF"/>
    </w:rPr>
  </w:style>
  <w:style w:type="paragraph" w:styleId="ListParagraph">
    <w:name w:val="List Paragraph"/>
    <w:basedOn w:val="Normal"/>
    <w:uiPriority w:val="34"/>
    <w:qFormat/>
    <w:rsid w:val="00290467"/>
    <w:pPr>
      <w:ind w:left="720"/>
      <w:contextualSpacing/>
    </w:pPr>
  </w:style>
  <w:style w:type="character" w:styleId="IntenseEmphasis">
    <w:name w:val="Intense Emphasis"/>
    <w:basedOn w:val="DefaultParagraphFont"/>
    <w:uiPriority w:val="21"/>
    <w:qFormat/>
    <w:rsid w:val="00290467"/>
    <w:rPr>
      <w:i/>
      <w:iCs/>
      <w:color w:val="0F4761" w:themeColor="accent1" w:themeShade="BF"/>
    </w:rPr>
  </w:style>
  <w:style w:type="paragraph" w:styleId="IntenseQuote">
    <w:name w:val="Intense Quote"/>
    <w:basedOn w:val="Normal"/>
    <w:next w:val="Normal"/>
    <w:link w:val="IntenseQuoteChar"/>
    <w:uiPriority w:val="30"/>
    <w:qFormat/>
    <w:rsid w:val="002904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467"/>
    <w:rPr>
      <w:i/>
      <w:iCs/>
      <w:color w:val="0F4761" w:themeColor="accent1" w:themeShade="BF"/>
    </w:rPr>
  </w:style>
  <w:style w:type="character" w:styleId="IntenseReference">
    <w:name w:val="Intense Reference"/>
    <w:basedOn w:val="DefaultParagraphFont"/>
    <w:uiPriority w:val="32"/>
    <w:qFormat/>
    <w:rsid w:val="00290467"/>
    <w:rPr>
      <w:b/>
      <w:bCs/>
      <w:smallCaps/>
      <w:color w:val="0F4761" w:themeColor="accent1" w:themeShade="BF"/>
      <w:spacing w:val="5"/>
    </w:rPr>
  </w:style>
  <w:style w:type="character" w:styleId="Strong">
    <w:name w:val="Strong"/>
    <w:basedOn w:val="DefaultParagraphFont"/>
    <w:uiPriority w:val="22"/>
    <w:qFormat/>
    <w:rsid w:val="00290467"/>
    <w:rPr>
      <w:b/>
      <w:bCs/>
    </w:rPr>
  </w:style>
  <w:style w:type="character" w:styleId="HTMLCode">
    <w:name w:val="HTML Code"/>
    <w:basedOn w:val="DefaultParagraphFont"/>
    <w:uiPriority w:val="99"/>
    <w:semiHidden/>
    <w:unhideWhenUsed/>
    <w:rsid w:val="00290467"/>
    <w:rPr>
      <w:rFonts w:ascii="Courier New" w:eastAsia="Times New Roman" w:hAnsi="Courier New" w:cs="Courier New"/>
      <w:sz w:val="20"/>
      <w:szCs w:val="20"/>
    </w:rPr>
  </w:style>
  <w:style w:type="character" w:customStyle="1" w:styleId="math-tex">
    <w:name w:val="math-tex"/>
    <w:basedOn w:val="DefaultParagraphFont"/>
    <w:rsid w:val="002904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Junying Wu</dc:creator>
  <cp:keywords/>
  <dc:description/>
  <cp:lastModifiedBy>Junying Wu</cp:lastModifiedBy>
  <cp:revision>2</cp:revision>
  <dcterms:created xsi:type="dcterms:W3CDTF">2026-09-06T13:16:00Z</dcterms:created>
  <dcterms:modified xsi:type="dcterms:W3CDTF">2026-09-06T13:52:00Z</dcterms:modified>
</cp:coreProperties>
</file>