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UNIVERSIDAD NACIONAL JOSÉ MARÍA ARGUEDAS</w:t>
      </w:r>
    </w:p>
    <w:p>
      <w:pPr>
        <w:jc w:val="center"/>
      </w:pPr>
      <w:r>
        <w:t>Computación Gráfica · Unidad I · IIAD65 · Grupo 04</w:t>
      </w:r>
    </w:p>
    <w:p>
      <w:r>
        <w:br/>
      </w:r>
    </w:p>
    <w:p>
      <w:pPr>
        <w:pStyle w:val="Title"/>
        <w:jc w:val="center"/>
      </w:pPr>
      <w:r>
        <w:t>GUION DE DEMOSTRACIÓN</w:t>
      </w:r>
    </w:p>
    <w:p>
      <w:pPr>
        <w:jc w:val="center"/>
      </w:pPr>
      <w:r>
        <w:t>Video de 3–5 min y exposición de 8–12 min</w:t>
      </w:r>
    </w:p>
    <w:p>
      <w:r>
        <w:br/>
      </w:r>
    </w:p>
    <w:p>
      <w:r>
        <w:t>Tipo de documento: Guion y lista de captura</w:t>
        <w:br/>
        <w:t>Versión: 20 de octubre de 2026</w:t>
        <w:br/>
        <w:t>Repositorio: https://github.com/WILLIAMMDN/astro-trazos</w:t>
      </w:r>
    </w:p>
    <w:p>
      <w:r>
        <w:t>Equipo consignado en el informe previo: Max William Medina Castro; Neil Angelo Hiyo Juarez Anderson; Allcca Mauycalla (nombre completo por confirmar).</w:t>
      </w:r>
    </w:p>
    <w:p>
      <w:r>
        <w:t>Roles propuestos para la exposición: Max — integración y programación; Neil — diseño pedagógico y pruebas; Allcca — arte e interfaz. Confirmar distribución real con el grupo.</w:t>
      </w:r>
    </w:p>
    <w:p>
      <w:r>
        <w:t>Docente: Mtro. Jhamer Anderson Rojas Silva.</w:t>
      </w:r>
    </w:p>
    <w:p>
      <w:pPr>
        <w:jc w:val="center"/>
      </w:pPr>
      <w:r>
        <w:t>Andahuaylas, Perú · 2026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Tiempo</w:t>
            </w:r>
          </w:p>
        </w:tc>
        <w:tc>
          <w:tcPr>
            <w:tcW w:type="dxa" w:w="3024"/>
          </w:tcPr>
          <w:p>
            <w:r>
              <w:t>Acción real en pantalla</w:t>
            </w:r>
          </w:p>
        </w:tc>
        <w:tc>
          <w:tcPr>
            <w:tcW w:type="dxa" w:w="3024"/>
          </w:tcPr>
          <w:p>
            <w:r>
              <w:t>Concepto oral/subtítulo</w:t>
            </w:r>
          </w:p>
        </w:tc>
      </w:tr>
      <w:tr>
        <w:tc>
          <w:tcPr>
            <w:tcW w:type="dxa" w:w="3024"/>
          </w:tcPr>
          <w:p>
            <w:r>
              <w:t>0:00–0:25</w:t>
            </w:r>
          </w:p>
        </w:tc>
        <w:tc>
          <w:tcPr>
            <w:tcW w:type="dxa" w:w="3024"/>
          </w:tcPr>
          <w:p>
            <w:r>
              <w:t>Menú; mostrar siete escenas</w:t>
            </w:r>
          </w:p>
        </w:tc>
        <w:tc>
          <w:tcPr>
            <w:tcW w:type="dxa" w:w="3024"/>
          </w:tcPr>
          <w:p>
            <w:r>
              <w:t>Cada forma dibujada se convierte en una acción geométrica.</w:t>
            </w:r>
          </w:p>
        </w:tc>
      </w:tr>
      <w:tr>
        <w:tc>
          <w:tcPr>
            <w:tcW w:type="dxa" w:w="3024"/>
          </w:tcPr>
          <w:p>
            <w:r>
              <w:t>0:25–1:05</w:t>
            </w:r>
          </w:p>
        </w:tc>
        <w:tc>
          <w:tcPr>
            <w:tcW w:type="dxa" w:w="3024"/>
          </w:tcPr>
          <w:p>
            <w:r>
              <w:t>Despegue y vector; usar pincel</w:t>
            </w:r>
          </w:p>
        </w:tc>
        <w:tc>
          <w:tcPr>
            <w:tcW w:type="dxa" w:w="3024"/>
          </w:tcPr>
          <w:p>
            <w:r>
              <w:t>Segmentos, dirección y trayectoria.</w:t>
            </w:r>
          </w:p>
        </w:tc>
      </w:tr>
      <w:tr>
        <w:tc>
          <w:tcPr>
            <w:tcW w:type="dxa" w:w="3024"/>
          </w:tcPr>
          <w:p>
            <w:r>
              <w:t>1:05–2:10</w:t>
            </w:r>
          </w:p>
        </w:tc>
        <w:tc>
          <w:tcPr>
            <w:tcW w:type="dxa" w:w="3024"/>
          </w:tcPr>
          <w:p>
            <w:r>
              <w:t>El peso justo: arrastrar 40 × 30</w:t>
            </w:r>
          </w:p>
        </w:tc>
        <w:tc>
          <w:tcPr>
            <w:tcW w:type="dxa" w:w="3024"/>
          </w:tcPr>
          <w:p>
            <w:r>
              <w:t>La base por la altura construye 1200 u² y activa la balanza.</w:t>
            </w:r>
          </w:p>
        </w:tc>
      </w:tr>
      <w:tr>
        <w:tc>
          <w:tcPr>
            <w:tcW w:type="dxa" w:w="3024"/>
          </w:tcPr>
          <w:p>
            <w:r>
              <w:t>2:10–3:05</w:t>
            </w:r>
          </w:p>
        </w:tc>
        <w:tc>
          <w:tcPr>
            <w:tcW w:type="dxa" w:w="3024"/>
          </w:tcPr>
          <w:p>
            <w:r>
              <w:t>Bloquea los rayos: dibujar defensas</w:t>
            </w:r>
          </w:p>
        </w:tc>
        <w:tc>
          <w:tcPr>
            <w:tcW w:type="dxa" w:w="3024"/>
          </w:tcPr>
          <w:p>
            <w:r>
              <w:t>La intersección real detiene cada láser.</w:t>
            </w:r>
          </w:p>
        </w:tc>
      </w:tr>
      <w:tr>
        <w:tc>
          <w:tcPr>
            <w:tcW w:type="dxa" w:w="3024"/>
          </w:tcPr>
          <w:p>
            <w:r>
              <w:t>3:05–3:35</w:t>
            </w:r>
          </w:p>
        </w:tc>
        <w:tc>
          <w:tcPr>
            <w:tcW w:type="dxa" w:w="3024"/>
          </w:tcPr>
          <w:p>
            <w:r>
              <w:t>Mostrar escudo y órbita; pruebas</w:t>
            </w:r>
          </w:p>
        </w:tc>
        <w:tc>
          <w:tcPr>
            <w:tcW w:type="dxa" w:w="3024"/>
          </w:tcPr>
          <w:p>
            <w:r>
              <w:t>Siete escenas, 17 pruebas aprobadas.</w:t>
            </w:r>
          </w:p>
        </w:tc>
      </w:tr>
      <w:tr>
        <w:tc>
          <w:tcPr>
            <w:tcW w:type="dxa" w:w="3024"/>
          </w:tcPr>
          <w:p>
            <w:r>
              <w:t>3:35–3:50</w:t>
            </w:r>
          </w:p>
        </w:tc>
        <w:tc>
          <w:tcPr>
            <w:tcW w:type="dxa" w:w="3024"/>
          </w:tcPr>
          <w:p>
            <w:r>
              <w:t>Cierre y RSU</w:t>
            </w:r>
          </w:p>
        </w:tc>
        <w:tc>
          <w:tcPr>
            <w:tcW w:type="dxa" w:w="3024"/>
          </w:tcPr>
          <w:p>
            <w:r>
              <w:t>Se documentó una jornada con siete estudiantes; aprendizaje aún por medir.</w:t>
            </w:r>
          </w:p>
        </w:tc>
      </w:tr>
    </w:tbl>
    <w:p>
      <w:r>
        <w:t>Capturar el juego funcionando, no una maqueta. Subtitular los pasos. Para la exposición en vivo, reservar un minuto para abrir el HTML autónomo y otro para enseñar la estructura del repositorio y las pruebas.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ASTRO-TRAZOS  •  UNAJMA  •  2026-II     |  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1F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1F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81F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52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