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A7F2B">
      <w:pPr>
        <w:pBdr>
          <w:bottom w:val="single" w:color="1A1A1A" w:sz="8" w:space="8"/>
        </w:pBdr>
        <w:spacing w:before="0" w:after="240"/>
      </w:pPr>
      <w:r>
        <w:rPr>
          <w:rFonts w:ascii="Arial" w:hAnsi="Arial" w:eastAsia="Arial" w:cs="Arial"/>
          <w:b/>
          <w:bCs/>
          <w:color w:val="1A1A1A"/>
          <w:sz w:val="48"/>
          <w:szCs w:val="48"/>
        </w:rPr>
        <w:t>量化主导时代的交易逻辑重构</w:t>
      </w:r>
    </w:p>
    <w:p w14:paraId="67D735B5">
      <w:pPr>
        <w:spacing w:before="120" w:after="60"/>
      </w:pPr>
      <w:r>
        <w:rPr>
          <w:rFonts w:ascii="Arial" w:hAnsi="Arial" w:eastAsia="Arial" w:cs="Arial"/>
          <w:color w:val="555555"/>
          <w:sz w:val="22"/>
          <w:szCs w:val="22"/>
        </w:rPr>
        <w:t>盘前定性 · 预期差框架 · 顺势的正确理解 · 模式思维与涨跌思维的边界</w:t>
      </w:r>
    </w:p>
    <w:p w14:paraId="16AB7C4F">
      <w:pPr>
        <w:spacing w:before="40" w:after="400"/>
      </w:pPr>
      <w:r>
        <w:rPr>
          <w:rFonts w:ascii="Arial" w:hAnsi="Arial" w:eastAsia="Arial" w:cs="Arial"/>
          <w:color w:val="999999"/>
          <w:sz w:val="19"/>
          <w:szCs w:val="19"/>
        </w:rPr>
        <w:t>短线交易方法论  |  适用市场：A股量化主导环境</w:t>
      </w:r>
    </w:p>
    <w:p w14:paraId="6E06D41A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01  市场结构变化：传统卖法正在失效</w:t>
      </w:r>
    </w:p>
    <w:p w14:paraId="647FED6D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在量化主导的市场环境下，过去有效的操作方式正在逐渐失效。最典型的问题来自一种惯性思维：开盘联动下跌后，仍然等待分时高点、等反弹修复再卖。</w:t>
      </w:r>
    </w:p>
    <w:p w14:paraId="735FA4AE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026"/>
      </w:tblGrid>
      <w:tr w14:paraId="4CB7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1A1A1A" w:sz="12" w:space="0"/>
              <w:left w:val="single" w:color="1A1A1A" w:sz="12" w:space="0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EF3AC19">
            <w:pPr>
              <w:spacing w:line="300" w:lineRule="auto"/>
            </w:pPr>
            <w:r>
              <w:rPr>
                <w:rFonts w:ascii="Arial" w:hAnsi="Arial" w:eastAsia="Arial" w:cs="Arial"/>
                <w:i/>
                <w:iCs/>
                <w:color w:val="1A1A1A"/>
                <w:sz w:val="21"/>
                <w:szCs w:val="21"/>
              </w:rPr>
              <w:t>量化系统不会等你想明白逻辑。它识别到「预期落空、承接不足、方向转弱」后，会直接按模型处理仓位。从平盘跌到深水，中间几乎不给修复机会，更不会出现「舒服的冲高卖点」。</w:t>
            </w:r>
          </w:p>
        </w:tc>
      </w:tr>
    </w:tbl>
    <w:p w14:paraId="282E7E02">
      <w:pPr>
        <w:spacing w:before="0" w:after="80"/>
      </w:pPr>
    </w:p>
    <w:p w14:paraId="72856E4C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这意味着：同板块、同风格、同逻辑的个股一旦在开盘阶段出现联动转弱，量化会同步放大下跌。开盘最初阶段承接本就最脆弱，也是量化最容易集中发力的时段。一旦预期落空，盘口给的缓冲会越来越少。</w:t>
      </w:r>
    </w:p>
    <w:p w14:paraId="35737991">
      <w:pPr>
        <w:spacing w:before="0" w:after="80"/>
      </w:pPr>
    </w:p>
    <w:p w14:paraId="5E82CC2F">
      <w:pPr>
        <w:spacing w:before="80" w:after="100" w:line="320" w:lineRule="auto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核心操作原则对比：</w:t>
      </w:r>
    </w:p>
    <w:p w14:paraId="28B17DF1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等分时高点卖 → 在量化主导市场已基本失效</w:t>
      </w:r>
    </w:p>
    <w:p w14:paraId="62DFC69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等反弹修复卖 → 常规情况下失效，极端特例除外</w:t>
      </w:r>
    </w:p>
    <w:p w14:paraId="33F9A24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确认不对，立刻应对 → 当前市场的正确做法</w:t>
      </w:r>
    </w:p>
    <w:p w14:paraId="1D3A7D14">
      <w:pPr>
        <w:spacing w:before="0" w:after="160"/>
      </w:pPr>
    </w:p>
    <w:p w14:paraId="720E53D2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02  核心方法论：预期差框架</w:t>
      </w:r>
    </w:p>
    <w:p w14:paraId="56181348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真正重要的不是涨跌幅本身，而是「预期差」——实际走势与你盘前合理预期之间的偏离。这要求在开盘前就先把大致情况列出来：</w:t>
      </w:r>
    </w:p>
    <w:p w14:paraId="4C22BB5A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FFEB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50CF9F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500A"/>
                <w:sz w:val="28"/>
                <w:szCs w:val="28"/>
              </w:rPr>
              <w:t>▲ 高预期</w:t>
            </w:r>
          </w:p>
          <w:p w14:paraId="7A67266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27500A"/>
                <w:sz w:val="20"/>
                <w:szCs w:val="20"/>
              </w:rPr>
              <w:t>高预期 / 符合预期</w:t>
            </w:r>
          </w:p>
          <w:p w14:paraId="4FCA8628">
            <w:pPr>
              <w:jc w:val="center"/>
            </w:pPr>
            <w:r>
              <w:rPr>
                <w:rFonts w:ascii="Arial" w:hAnsi="Arial" w:eastAsia="Arial" w:cs="Arial"/>
                <w:color w:val="27500A"/>
                <w:sz w:val="18"/>
                <w:szCs w:val="18"/>
              </w:rPr>
              <w:t>昨天大涨 + 利好 → 今天高开或开盘后继续向上，体现资金愿意继续做隔日承接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735495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28"/>
                <w:szCs w:val="28"/>
              </w:rPr>
              <w:t>— 轻微不及</w:t>
            </w:r>
          </w:p>
          <w:p w14:paraId="43DB1A4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7D5A00"/>
                <w:sz w:val="20"/>
                <w:szCs w:val="20"/>
              </w:rPr>
              <w:t>轻微不及预期</w:t>
            </w:r>
          </w:p>
          <w:p w14:paraId="79DEE3CF">
            <w:pPr>
              <w:jc w:val="center"/>
            </w:pPr>
            <w:r>
              <w:rPr>
                <w:rFonts w:ascii="Arial" w:hAnsi="Arial" w:eastAsia="Arial" w:cs="Arial"/>
                <w:color w:val="7D5A00"/>
                <w:sz w:val="18"/>
                <w:szCs w:val="18"/>
              </w:rPr>
              <w:t>应该强但仅平开，需保持敏感，观察开盘后续方向是否继续转弱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BEB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49B6FF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91F1F"/>
                <w:sz w:val="28"/>
                <w:szCs w:val="28"/>
              </w:rPr>
              <w:t>▼ 明显不及</w:t>
            </w:r>
          </w:p>
          <w:p w14:paraId="7FB2C7C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color w:val="791F1F"/>
                <w:sz w:val="20"/>
                <w:szCs w:val="20"/>
              </w:rPr>
              <w:t>明显不及预期</w:t>
            </w:r>
          </w:p>
          <w:p w14:paraId="699F71D6">
            <w:pPr>
              <w:jc w:val="center"/>
            </w:pPr>
            <w:r>
              <w:rPr>
                <w:rFonts w:ascii="Arial" w:hAnsi="Arial" w:eastAsia="Arial" w:cs="Arial"/>
                <w:color w:val="791F1F"/>
                <w:sz w:val="18"/>
                <w:szCs w:val="18"/>
              </w:rPr>
              <w:t>昨天大涨 + 利好 → 今天低开或开盘下行，资金否定加强预期，应立即应对</w:t>
            </w:r>
          </w:p>
        </w:tc>
      </w:tr>
    </w:tbl>
    <w:p w14:paraId="4ECEDB4A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026"/>
      </w:tblGrid>
      <w:tr w14:paraId="63EB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026" w:type="dxa"/>
            <w:tcBorders>
              <w:top w:val="single" w:color="1A1A1A" w:sz="12" w:space="0"/>
              <w:left w:val="single" w:color="1A1A1A" w:sz="12" w:space="0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CD8952">
            <w:pPr>
              <w:spacing w:line="300" w:lineRule="auto"/>
            </w:pPr>
            <w:r>
              <w:rPr>
                <w:rFonts w:ascii="Arial" w:hAnsi="Arial" w:eastAsia="Arial" w:cs="Arial"/>
                <w:i/>
                <w:iCs/>
                <w:color w:val="1A1A1A"/>
                <w:sz w:val="21"/>
                <w:szCs w:val="21"/>
              </w:rPr>
              <w:t>关键判断：「该强不强」在量化环境下不是中性信号，而是非常危险的信号。量化不会等你慢慢想明白逻辑，它看到预期落空就直接按模型处理仓位。正常该涨的开盘走弱，要跟量化抢跑——这种敏感不是情绪化，而是对当下市场结构的尊重。</w:t>
            </w:r>
          </w:p>
        </w:tc>
      </w:tr>
    </w:tbl>
    <w:p w14:paraId="423E27E6">
      <w:pPr>
        <w:spacing w:before="0" w:after="160"/>
      </w:pPr>
    </w:p>
    <w:p w14:paraId="3E0B68ED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03  盘前定性：开盘前的核心工作</w:t>
      </w:r>
    </w:p>
    <w:p w14:paraId="38436148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不能等盘面走出来以后才临时决定怎么看，而是要在开盘前就写好「剧本」。没有盘前预案，市场一低开就觉得「也许还能修」，一走弱就觉得「也许午后有回流」，一跌深又觉得「是不是错杀」——最终死在犹豫上，而不是死在逻辑上。</w:t>
      </w:r>
    </w:p>
    <w:p w14:paraId="52C97C43">
      <w:pPr>
        <w:spacing w:before="0" w:after="80"/>
      </w:pPr>
    </w:p>
    <w:p w14:paraId="01D1E7C7">
      <w:pPr>
        <w:spacing w:before="80" w:after="100" w:line="320" w:lineRule="auto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盘前定性的四个步骤：</w:t>
      </w:r>
    </w:p>
    <w:p w14:paraId="37BC1FBA">
      <w:pPr>
        <w:pStyle w:val="16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定高预期情形：在当前背景下，这只票/这个板块「正常应该怎么走」——明确正常应该表现出的强势特征，如高开幅度、开盘后的承接方向等</w:t>
      </w:r>
    </w:p>
    <w:p w14:paraId="39CC14D3">
      <w:pPr>
        <w:pStyle w:val="16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定符合预期情形：符合市场整体节奏，无明显超强也无明显转弱，属于中性情况，可以继续观察</w:t>
      </w:r>
    </w:p>
    <w:p w14:paraId="0F254865">
      <w:pPr>
        <w:pStyle w:val="16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定低预期情形：一旦开盘走出这种情况，要足够敏感，不能再用「再等等看」的惯性思路应对，需立即行动</w:t>
      </w:r>
    </w:p>
    <w:p w14:paraId="5742D2E7">
      <w:pPr>
        <w:pStyle w:val="16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识别例外情形：极端一致性大低开（权重集体承压、板块整体利空冲击）可能混杂错杀与情绪过度释放，此时等小修复再卖可能更合理——但这只是例外，不是常态</w:t>
      </w:r>
    </w:p>
    <w:p w14:paraId="5A441520">
      <w:pPr>
        <w:spacing w:before="0" w:after="160"/>
      </w:pPr>
    </w:p>
    <w:p w14:paraId="0D9B8051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04  顺势的正确理解</w:t>
      </w:r>
    </w:p>
    <w:p w14:paraId="30C3A3C9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很多人把「顺势」等同于「顺着涨去追」，这个理解不完整。更准确的说法是：顺应当下市场阻力最小的方向。</w:t>
      </w:r>
    </w:p>
    <w:p w14:paraId="11B8CE12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B078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A54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狭义理解（不完整）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7C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1D2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正确理解</w:t>
            </w:r>
          </w:p>
        </w:tc>
      </w:tr>
      <w:tr w14:paraId="36B2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71446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顺着上涨去追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72A6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顺应当下阻力最小的方向</w:t>
            </w:r>
          </w:p>
        </w:tc>
      </w:tr>
      <w:tr w14:paraId="2963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63A1E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顺着主升去打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CFB1A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止跌、抗跌、修复也算顺势</w:t>
            </w:r>
          </w:p>
        </w:tc>
      </w:tr>
      <w:tr w14:paraId="54C9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664A9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顺着龙头去接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D13B5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低位跌不动、能承接活跃资金即可</w:t>
            </w:r>
          </w:p>
        </w:tc>
      </w:tr>
    </w:tbl>
    <w:p w14:paraId="623079AB">
      <w:pPr>
        <w:spacing w:before="0" w:after="80"/>
      </w:pPr>
    </w:p>
    <w:p w14:paraId="3CA60D47">
      <w:pPr>
        <w:spacing w:before="80" w:after="100" w:line="320" w:lineRule="auto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案例说明：</w:t>
      </w:r>
    </w:p>
    <w:p w14:paraId="0535BD0D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AI之外的锂电、航天出现修复行情——在大势走弱阶段，这些方向跌不动、能修复、能承接活跃资金，就是当时阻力最小的方向，属于顺势</w:t>
      </w:r>
    </w:p>
    <w:p w14:paraId="0348CFFC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白酒「看起来低」——不符合活跃资金偏好，没有结构性强交易催化，「便宜」不等于顺势，不属于顺势</w:t>
      </w:r>
    </w:p>
    <w:p w14:paraId="79E544C4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026"/>
      </w:tblGrid>
      <w:tr w14:paraId="1BE8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026" w:type="dxa"/>
            <w:tcBorders>
              <w:top w:val="single" w:color="1A1A1A" w:sz="12" w:space="0"/>
              <w:left w:val="single" w:color="1A1A1A" w:sz="12" w:space="0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3FDB15">
            <w:pPr>
              <w:spacing w:line="300" w:lineRule="auto"/>
            </w:pPr>
            <w:r>
              <w:rPr>
                <w:rFonts w:ascii="Arial" w:hAnsi="Arial" w:eastAsia="Arial" w:cs="Arial"/>
                <w:i/>
                <w:iCs/>
                <w:color w:val="1A1A1A"/>
                <w:sz w:val="21"/>
                <w:szCs w:val="21"/>
              </w:rPr>
              <w:t>低，不等于顺势；便宜，也不等于值得做。顺势是动态的市场结构判断，不是静态的估值比较。</w:t>
            </w:r>
          </w:p>
        </w:tc>
      </w:tr>
    </w:tbl>
    <w:p w14:paraId="0CF51DF3">
      <w:pPr>
        <w:spacing w:before="0" w:after="160"/>
      </w:pPr>
    </w:p>
    <w:p w14:paraId="51A9C337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05  主升 vs 切换轮动：难度的本质区别</w:t>
      </w:r>
    </w:p>
    <w:p w14:paraId="35FCE2F1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主升钱赚到以后，很多人会开始不自觉地想把切换轮动的钱也一起赚了。这是一个常见的错误。</w:t>
      </w:r>
    </w:p>
    <w:p w14:paraId="56E33569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2D0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AE4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主升阶段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7C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9D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切换轮动阶段</w:t>
            </w:r>
          </w:p>
        </w:tc>
      </w:tr>
      <w:tr w14:paraId="0C28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57AC7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方向清楚，资金合力强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14659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资金分散，逻辑模糊</w:t>
            </w:r>
          </w:p>
        </w:tc>
      </w:tr>
      <w:tr w14:paraId="2394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F1CC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容错率高，最好赚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4B75B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节奏快，今强未必明强</w:t>
            </w:r>
          </w:p>
        </w:tc>
      </w:tr>
      <w:tr w14:paraId="64A1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8D8D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可以重仓，持有有底气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8135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事后看明白，事前难下重手</w:t>
            </w:r>
          </w:p>
        </w:tc>
      </w:tr>
      <w:tr w14:paraId="695B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B6C33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主线明确，逻辑自洽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0FC43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机会偏个股性、局部性、独立性</w:t>
            </w:r>
          </w:p>
        </w:tc>
      </w:tr>
    </w:tbl>
    <w:p w14:paraId="790F2E8D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026"/>
      </w:tblGrid>
      <w:tr w14:paraId="6162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1A1A1A" w:sz="12" w:space="0"/>
              <w:left w:val="single" w:color="1A1A1A" w:sz="12" w:space="0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6BF859C">
            <w:pPr>
              <w:spacing w:line="300" w:lineRule="auto"/>
            </w:pPr>
            <w:r>
              <w:rPr>
                <w:rFonts w:ascii="Arial" w:hAnsi="Arial" w:eastAsia="Arial" w:cs="Arial"/>
                <w:i/>
                <w:iCs/>
                <w:color w:val="1A1A1A"/>
                <w:sz w:val="21"/>
                <w:szCs w:val="21"/>
              </w:rPr>
              <w:t>成熟的应对不是每一段行情都要参与，而是知道哪些钱属于自己的能力圈，哪些阶段应该少折腾、降仓位、降预期。每次切换都想折腾，整体看下来效果往往一般。</w:t>
            </w:r>
          </w:p>
        </w:tc>
      </w:tr>
    </w:tbl>
    <w:p w14:paraId="57F399D6">
      <w:pPr>
        <w:spacing w:before="0" w:after="160"/>
      </w:pPr>
    </w:p>
    <w:p w14:paraId="11CAC907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06  模式思维 vs 涨跌思维</w:t>
      </w:r>
    </w:p>
    <w:p w14:paraId="47C84BEA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很多人做交易，习惯用涨跌思维去反推一切：涨了就是对，跌了就是错，赚了说明逻辑成立，亏了说明模式有问题。真正成熟的交易，更接近模式思维。</w:t>
      </w:r>
    </w:p>
    <w:p w14:paraId="10FDB613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EA7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B8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CE0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涨跌思维（局限）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7C3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C298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模式思维（成熟）</w:t>
            </w:r>
          </w:p>
        </w:tc>
      </w:tr>
      <w:tr w14:paraId="656E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9A074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以结果评判操作对错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FE4AC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基于已知信息做合理推演</w:t>
            </w:r>
          </w:p>
        </w:tc>
      </w:tr>
      <w:tr w14:paraId="2C52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C1DFF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赚了 = 逻辑成立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44417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推演合理 + 市场否定 = 及时收手</w:t>
            </w:r>
          </w:p>
        </w:tc>
      </w:tr>
      <w:tr w14:paraId="518F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086F0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亏了 = 模式有问题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F839F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碰巧赚了 ≠ 方法正确</w:t>
            </w:r>
          </w:p>
        </w:tc>
      </w:tr>
      <w:tr w14:paraId="76F7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3D256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容易情绪化乱做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443E7"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追求正确应对不确定性，不追求猜中</w:t>
            </w:r>
          </w:p>
        </w:tc>
      </w:tr>
    </w:tbl>
    <w:p w14:paraId="78273266">
      <w:pPr>
        <w:spacing w:before="0" w:after="80"/>
      </w:pPr>
    </w:p>
    <w:p w14:paraId="7703DCBB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模式思维的核心：在当时那个市场环境下，你基于已知信息、基于当下结构、基于资金偏好，所做出的推演是否合理。推演合理但市场没有按这个方向走，你及时收手，依然是合格的交易。</w:t>
      </w:r>
    </w:p>
    <w:p w14:paraId="3206F566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026"/>
      </w:tblGrid>
      <w:tr w14:paraId="4F5C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1A1A1A" w:sz="12" w:space="0"/>
              <w:left w:val="single" w:color="1A1A1A" w:sz="12" w:space="0"/>
              <w:bottom w:val="nil"/>
              <w:right w:val="nil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750B2B">
            <w:pPr>
              <w:spacing w:line="300" w:lineRule="auto"/>
            </w:pPr>
            <w:r>
              <w:rPr>
                <w:rFonts w:ascii="Arial" w:hAnsi="Arial" w:eastAsia="Arial" w:cs="Arial"/>
                <w:i/>
                <w:iCs/>
                <w:color w:val="1A1A1A"/>
                <w:sz w:val="21"/>
                <w:szCs w:val="21"/>
              </w:rPr>
              <w:t>不能单纯看结果去完全否定一个曾经合理的模式。如果你逻辑上本来就不清楚，只是凭情绪乱做，碰巧赚了，那也不说明这种方法是对的。模式思维和涨跌思维的根本区别，就在这里。</w:t>
            </w:r>
          </w:p>
        </w:tc>
      </w:tr>
    </w:tbl>
    <w:p w14:paraId="655DD56A">
      <w:pPr>
        <w:spacing w:before="0" w:after="160"/>
      </w:pPr>
    </w:p>
    <w:p w14:paraId="45199050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07  市场「原谅」机制：阶段性而非永恒</w:t>
      </w:r>
    </w:p>
    <w:p w14:paraId="69C6646F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市场在某段时间里会对某些强逻辑、强趋势方向特别宽容——哪怕业绩有瑕疵、位置有点高，资金仍愿意继续抱团，因为整个阶段的风险偏好、审美和容量都支持这种行为。</w:t>
      </w:r>
    </w:p>
    <w:p w14:paraId="5718B7B3">
      <w:pPr>
        <w:spacing w:before="0" w:after="80"/>
      </w:pPr>
    </w:p>
    <w:p w14:paraId="09E5A57A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「原谅」的决定因素：不是单纯看公司本身，而是看整个阶段的情绪、位置、预期和资金风格。一旦这些条件改变，原谅机制可能在某个时点突然失效，而且不是渐进式的。</w:t>
      </w:r>
    </w:p>
    <w:p w14:paraId="0A906DAA">
      <w:pPr>
        <w:spacing w:before="0" w:after="80"/>
      </w:pPr>
    </w:p>
    <w:p w14:paraId="754C278A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原谅存在的条件：风险偏好、审美、容量同时支持，资金容忍瑕疵、容忍高位，宁愿继续高切高</w:t>
      </w:r>
    </w:p>
    <w:p w14:paraId="4C52D8CE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原谅失效的信号：流出资金宁愿去更强的海外线，也不愿切换到国产区或低位区；辨识度越高的核心票反而表现越差</w:t>
      </w:r>
    </w:p>
    <w:p w14:paraId="1860F0AB">
      <w:pPr>
        <w:pStyle w:val="16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333333"/>
          <w:sz w:val="22"/>
          <w:szCs w:val="22"/>
        </w:rPr>
        <w:t>当前市场难度来源：资金不是简单做高低切，而是在偏好最强辨识度、最强确定性的方向，整体难度显著加大</w:t>
      </w:r>
      <w:bookmarkStart w:id="0" w:name="_GoBack"/>
      <w:bookmarkEnd w:id="0"/>
    </w:p>
    <w:p w14:paraId="4C3D125A">
      <w:pPr>
        <w:spacing w:before="0" w:after="160"/>
      </w:pPr>
    </w:p>
    <w:p w14:paraId="414E0D3E">
      <w:pPr>
        <w:pStyle w:val="3"/>
        <w:pBdr>
          <w:bottom w:val="single" w:color="CCCCCC" w:sz="4" w:space="4"/>
        </w:pBdr>
        <w:spacing w:before="280" w:after="100"/>
      </w:pPr>
      <w:r>
        <w:rPr>
          <w:rFonts w:ascii="Arial" w:hAnsi="Arial" w:eastAsia="Arial" w:cs="Arial"/>
          <w:b/>
          <w:bCs/>
          <w:color w:val="2E2E2E"/>
          <w:sz w:val="26"/>
          <w:szCs w:val="26"/>
        </w:rPr>
        <w:t>核心结论</w:t>
      </w:r>
    </w:p>
    <w:p w14:paraId="0218EB39">
      <w:pPr>
        <w:spacing w:before="80" w:after="100" w:line="320" w:lineRule="auto"/>
      </w:pPr>
      <w:r>
        <w:rPr>
          <w:rFonts w:ascii="Arial" w:hAnsi="Arial" w:eastAsia="Arial" w:cs="Arial"/>
          <w:b w:val="0"/>
          <w:bCs w:val="0"/>
          <w:color w:val="333333"/>
          <w:sz w:val="22"/>
          <w:szCs w:val="22"/>
        </w:rPr>
        <w:t>把以上要点整合到具体操作框架中：</w:t>
      </w:r>
    </w:p>
    <w:p w14:paraId="6AADE98E">
      <w:pPr>
        <w:spacing w:before="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76FD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58512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1.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盘前定预期，盘中看兑现。开盘本该强而不强，本身就是问题，无需等更多确认信号。</w:t>
            </w:r>
          </w:p>
        </w:tc>
      </w:tr>
      <w:tr w14:paraId="6319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201B9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2.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量化主导下，真正的卖点已提前到「确认不对」的那一刻，不能再总想等分时高点再操作。</w:t>
            </w:r>
          </w:p>
        </w:tc>
      </w:tr>
      <w:tr w14:paraId="6F6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6C826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3.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极端一致性大低开属于例外情形，可等小技术性修复再卖；但这只是例外，不是可以泛化的常态。</w:t>
            </w:r>
          </w:p>
        </w:tc>
      </w:tr>
      <w:tr w14:paraId="1D15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23C11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4.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顺势 = 顺应当下阻力最小的方向，不只是顺着涨。止跌、抗跌、修复在特定阶段都可以是顺势。</w:t>
            </w:r>
          </w:p>
        </w:tc>
      </w:tr>
      <w:tr w14:paraId="3229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24A1A7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5.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主升的钱最好赚，切换轮动的钱最难赚。知道哪些阶段该少折腾、哪些钱不属于自己能力圈，本身也是一种能力。</w:t>
            </w:r>
          </w:p>
        </w:tc>
      </w:tr>
      <w:tr w14:paraId="6C5D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18493">
            <w:pPr>
              <w:spacing w:line="300" w:lineRule="auto"/>
            </w:pPr>
            <w:r>
              <w:rPr>
                <w:rFonts w:ascii="Arial" w:hAnsi="Arial" w:eastAsia="Arial" w:cs="Arial"/>
                <w:b/>
                <w:bCs/>
                <w:color w:val="2E5B8A"/>
                <w:sz w:val="21"/>
                <w:szCs w:val="21"/>
              </w:rPr>
              <w:t xml:space="preserve">6.  </w:t>
            </w:r>
            <w:r>
              <w:rPr>
                <w:rFonts w:ascii="Arial" w:hAnsi="Arial" w:eastAsia="Arial" w:cs="Arial"/>
                <w:color w:val="1A1A1A"/>
                <w:sz w:val="21"/>
                <w:szCs w:val="21"/>
              </w:rPr>
              <w:t>有用的不是事后看对错，而是：事前有预案，事中有敏感，事后有复盘。</w:t>
            </w:r>
          </w:p>
        </w:tc>
      </w:tr>
    </w:tbl>
    <w:p w14:paraId="761384BB">
      <w:pPr>
        <w:spacing w:before="0" w:after="160"/>
      </w:pPr>
    </w:p>
    <w:p w14:paraId="7463F0F7">
      <w:pPr>
        <w:pBdr>
          <w:top w:val="single" w:color="CCCCCC" w:sz="4" w:space="4"/>
        </w:pBdr>
        <w:spacing w:before="120" w:after="60"/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>本报告内容整理自盘面观察与交易方法论研究，仅供参考，不构成投资建议。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600" w:hanging="3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1416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2295</Words>
  <Characters>2315</Characters>
  <TotalTime>68</TotalTime>
  <ScaleCrop>false</ScaleCrop>
  <LinksUpToDate>false</LinksUpToDate>
  <CharactersWithSpaces>2376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2026-04-21T03:49:00Z</dcterms:created>
  <dc:creator>Un-named</dc:creator>
  <cp:lastModifiedBy>Han</cp:lastModifiedBy>
  <dcterms:modified xsi:type="dcterms:W3CDTF">2026-04-21T05:01:33Z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eyJoZGlkIjoiN2M5MWEwZTQ1MmM5YmI0YWE1MDY1ZjgwMWJkNzZlMmQiLCJ1c2VySWQiOiIzMTc3OTU1MTUifQ==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1BBA884091EB4A1DAF76A7CF9A48002A_12</vt:lpwstr>
  </property>
</Properties>
</file>