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AIDC与AI算力产业链深度研究报告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算力基础设施 · 算力租赁 · 存储 · 交换芯片 · 光通信 · 商业模式重构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——从需求爆发到资本开支落地的全景产业链分析</w:t>
      </w:r>
    </w:p>
    <w:p>
      <w:pPr>
        <w:pBdr>
          <w:bottom w:val="single" w:color="2E75B6" w:sz="8" w:space="1"/>
        </w:pBdr>
        <w:spacing w:after="40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报告日期：2026年4月14日   |   数据截止：2026年4月13日</w:t>
      </w:r>
    </w:p>
    <w:p>
      <w:pPr>
        <w:spacing w:after="600" w:before="8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风险提示：本报告仅为研究参考，不构成投资建议，投资者需自行判断并承担风险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一、核心结论与产业主判断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2026年三大最重要产业判断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【判断①】AIDC已不是普通IDC的升级版，而是AI时代核心基础设施载体。传统IDC单机柜功率约4kW，AIDC正向30kW+跃迁，这是基础设施范式切换而非简单扩容。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【判断②】2026年是国内AIDC建设拐点年——国产算力放量（出货量200-300万张）+H200供给缓解双轮共振，带动AIDC需求约5GW，同比增速60%，招投标量翻倍，GW级园区成常态。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【判断③】产业价值链从'硬件卖方逻辑'向'平台运营与Token分成逻辑'演进。算力租赁从固定收租（PE估值）向模型服务/Token分成（PS估值）跨越式升级，估值弹性打开。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【市场判断①】算力租赁已进入卖方市场：H200租金YoY+25-30%，H100 YoY+15-20%，主要服务商全线涨价20-40%，2026年算力租赁市场规模预计达2600亿元。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【市场判断②】中国大模型Token成本仅为欧美的1/5至1/20，DeepSeek V3成本比GPT-4o低36倍，成本优势正转化为全球定价权，Token出海趋势显著。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【信息差】算力租赁商业模式正在悄然升级：从裸算力出租→Token分成，财务重估（残值从账面15%重估至实际70%），净利率有望从15%向20%+跃迁。这是市场绝大多数人尚未注意到的关键变量。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产业的竞争中心正在从模型参数竞争，全面转向基础设施竞争；从训练竞争，转向推理与服务竞争；从卖硬件竞争，转向平台化分成竞争。AIDC是这个时代的物理底座，算力租赁是流量入口，存储和交换芯片是关键配套，Token成本是全球竞争力的本质指标。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二、AIDC产业链总框架：需求如何传导为建设与招标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传导链：从AI应用爆发到GW级园区建设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2026年AIDC产业的核心逻辑是一条清晰的需求传导链：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驱动内容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量化指标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顶层驱动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AI大模型应用爆发（训练+推理）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DeepSeek/豆包等日活激增，Token消耗Q4至1-3月翻倍至六倍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资本注入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国内大厂Capex预期落地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2026年预期超5000亿元，其中字节跳动约3000亿元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物理承载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AIDC招投标预期释放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&gt;5GW，同比增速约60%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单体升级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单机柜功率密度提升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传统IDC约4kW→智算AIDC向30kW+迈进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典型示例项目：大同太行二期187MW、芜湖算力中心262MW、内蒙古市开发行130MW、内蒙古和林格尔110MW。市场已从零散小机房进入GW级园区时代。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产业传导链（一条清晰的逻辑链）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模型与应用爆发 → Token与推理需求上升 → 大厂Capex落地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AIDC建设加速 → 机柜功率密度提升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液冷、交换芯片、光模块、存储、电力配套全线受益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供需错配 → 算力租赁价格上行 → 商业模式升级为Token分成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算力租赁 vs AIDC：两个概念的本质区别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市场中普遍存在将算力租赁与AIDC混为一谈的误区，两者有本质区别：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算力租赁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核心属性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自有机柜、自有算力卡，用户直接用算力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提供机房环境、供电、制冷、基础运维、能耗环评指标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有没有卡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有卡（是核心差异）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无卡，客户自行购买机柜/算力卡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收入模式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租金收入+Token分成（新模式）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托管费、运维费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估值逻辑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从PE转向PS（成长平台逻辑）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资产运营逻辑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行业格局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马太效应，强者恒强，玩家持续减少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竞争格局相对分散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对于互联网大厂而言，当前是自建/代建AIDC与算力租赁双头并进——因为中国最先进模型的训练推理依赖英伟达最高端算力，合规性要求使大厂难以直接获取，第三方算力租赁公司有办法拿到并以租赁方式合作，同时将大厂一次性大额资本开支（H100集群约30亿、B200集群约40亿人民币）转化为小额运营支出，改善现金流结构。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三、为什么2026年是建设拐点年：双轮驱动共振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第一轮：国产算力供给放量（基石）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国产算力不只是政策概念，正在走向供给实质放量，带来的是产业配套需求的乘数效应。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6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产业含义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国产算力出货量预期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200-300万张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形成规模交付基础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单卡功耗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&gt;1000W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高功率驱动液冷刚性需求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带动AIDC需求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约5GW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对应机柜、电力、散热、网络、存储整体拉动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GPU放量从来不只是卖出一张卡，而是意味着要配套服务器、电源、液冷、交换机、光模块、存储、数据中心土建、电力和运维系统一起交付。这就是产业配套需求的乘数效应所在。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第二轮：H200供给缓解（加速器）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H200供给缓解解决的是'建设节奏能不能提速'的问题。此前大厂Capex并非没有预算，而是高端算力资源受限，建设节奏被迫延后。H200供应趋于缓解意味着过去积压的需求开始加速释放。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0"/>
              <w:left w:val="single" w:color="375623" w:sz="10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双轮共振→三大建设结果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招投标量翻倍：需求集中爆发，市场活跃度显著增强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GW级园区时代：超大规模集群建设成为常态，能源需求攀升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高功率机柜占比提升：适应高密度算力，基础设施全面升级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三大结果分别对应产业链三个层面：订单释放 / 大型项目周期 / 单体价值量抬升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四、全球算力结构演变与国产推理爆发三阶段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美国算力结构演进：从训练中心转向推理中心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训练算力占比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推理算力占比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产业含义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2024年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训练推理均衡阶段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2025年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推理规模显著超越训练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一转变意味着AI行业从'拼训练参数'进入'拼推理吞吐、调用成本、服务规模'阶段。Agent、多轮交互、工具调用、多模态推理等新形态使单次任务消耗的推理算力大幅提升；商业化依赖的是被调用的频次、留存和场景嵌入深度而非参数数量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中国国产推理算力爆发三阶段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时间维度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主要受益方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底层阶梯（短期）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当前-近期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云厂与N卡租赁受益，直接承接Token爆发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国内头部云厂、算力租赁平台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中层阶梯（中期）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1-3年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国产芯片/ASIC崛起，To B行业私有化部署成本优势显现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国产ASIC厂商、垂直领域GPU厂商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顶层阶梯（长期）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3年+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边缘端算力爆发，CPU+ASIC轻量化方案成熟，国产算力生态全面繁荣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芯片、服务器、调度、软件栈、行业应用整体生态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关键判断：中国算力产业不是一步到位全面替代，而是分层突破——先租赁和云端承接，再行业化私有部署，最后生态繁荣。短期最直接的受益在算力租赁与云厂层面。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五、算力通胀：指数级需求与线性供给的碰撞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算力通胀鸿沟的形成机制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全球AI算力市场的需求在指数级上升，而供给仍然接近线性增长，两者之间形成越来越大的'算力通胀鸿沟'。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需求驱动因素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量化影响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Coding（自动代码生成）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持续稳定的推理调用需求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Agent工作流（智能体协作）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复杂任务数量大幅提升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思维链（CoT）/慢思考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单次复杂推理算力消耗激增150倍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多模态生成（图文音视频融合）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算力负荷非线性上升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供给约束因素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资本开支约束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扩产周期长，无法快速响应需求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单卡性能物理瓶颈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摩尔定律放缓，性能提升趋缓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集群互联损耗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大规模集群效率衰减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算力通胀价格信号：已在传导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云服务/算力产品涨价实证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云厂商AI算力及存储产品近期提价幅度：5%—34%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其中AI算力云服务提价幅度最高可达34%，存储产品约5%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H200月租金：6.0-6.6万元/月（2026Q1）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H200 YoY租金涨幅：25%-30%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H100 YoY租金涨幅：15%-20%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B300租赁价格3月份飙升35%创历史新高，4月份仍在上涨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优刻得/网宿科技/首都在线/青云科技等头部厂商：全线涨价20%-40%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阿里云coding plan已限购；腾讯云近期涨价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算力通胀并非单纯的卡供不应求，而是结构性供需错配——只要需求增长斜率远大于供给增长斜率，产业链价格就会维持强势。这是判断算力租赁公司持续涨价能力的底层逻辑。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六、AI算力需求为什么持续爆发：三大核心驱动力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驱动力一：Token消耗量指数级上升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关键转折点：2026年1-2月，国内Token总量超越美国，曲线快速抬升。2026年以来周度Token消耗增加280%，连续5周超过美国。Token消耗正从少量开发者驱动变为海量终端用户和企业场景共同驱动。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原因分析：AIGC智能体逐步落地，多模态大模型、编程大模型所消耗的Token量对比传统文本推理增长10倍以上。随着AI从实验性工具变成生产工具、内容工具和行业工具，Token消耗成为常态需求而非偶发峰值。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驱动力二：OpenClaw框架普及拉动大规模API调用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传导路径：开源社区贡献与开发者生态 → OpenClaw框架 → API接口标准化与优化 → 大规模千行百业API调用 → 推理需求被进一步刚性拉动。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产业含义：过去模型调用较为零散、定制化；未来随着框架标准化、API封装和接口统一，AI能力更容易嵌入各行各业。调用变得足够简单后，需求会像云计算时代SaaS调用一样被快速放大，对推理芯片需求形成刚性支撑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驱动力三：国内互联网大厂算力订单翻倍增长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数据：腾讯、阿里等头部客户近期订单同比增长超过100%，实现翻倍。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大厂当前采购以万卡集群为单位，租约5年起，而且都是挑单做。这说明真实产业需求已进入'从验证到扩产'阶段，配套体系（AIDC、服务器、交换、存储、租赁）全线受益。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七、中美AI大模型Token成本对比与出海竞争力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成本优势：中国大模型Token成本仅为欧美1/5至1/20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欧美大模型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中国大模型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差距倍数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Token生成成本（基准）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1x（高）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1/5x至1/20x（低）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5-20倍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典型案例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GPT-4o（基准36x）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DeepSeek V3（1x）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36倍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底层基础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西部低成本绿电+算电协同优化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成本优势可持续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0"/>
              <w:left w:val="single" w:color="375623" w:sz="10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从成本优势到全球竞争力转化飞轮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底层基础：西部低成本绿电 + 算电协同优化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转化引擎：超低Token生成成本 → 规模效应与技术创新实现极致成本控制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顶层结果①：掌握全球AI服务定价权，占据行业标准与价格体系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顶层结果②：占据全球Top5模型中更多席位，中国模型全球市场份额显著提升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顶层结果③：全球AI服务消费占比达61%，消耗耗比占全球领先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数据来源：OpenRouter及产业测算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关键洞察：成本优势不是利润表上的静态优势，而是一个动态扩张能力。谁能把推理成本打下来，谁就更有机会在全球市场抢占定价权和份额。Token出海趋势已经显著——中国模型在open Rater的调用量排名持续靠前，连续5周超过美国。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八、算力租赁：进入卖方市场，行业壁垒与格局分析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市场进入卖方市场——价格上涨已在发生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YoY涨幅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月租金参考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H200高端GPU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25%-30% YoY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6.0-6.6万元/月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持续上行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H100高端GPU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15%-20% YoY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持续上行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B300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3月飙升35%，创历史新高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4月仍在涨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国内云服务商全线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20%-40%（部分厂商）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行业普遍动作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涨价已经不是局部试探，而是行业普遍动作，反映了行业整体供需关系变化，服务商议价能力提升，市场对未来算力成本持续走高形成一致预期。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行业壁垒三层结构（马太效应，玩家持续减少）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壁垒层级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门槛要求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顶层壁垒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万卡集群组网与配件调优能力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技术壁垒，集群优化是关键；存储网卡等组网配件同样紧缺，需能自主稳定搞定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中层壁垒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5个月严苛交期与多元化拿卡渠道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2025年已有公司因未完成交付而退出行业；合规与非合规渠道多元化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底层壁垒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百亿级资金周转能力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宏景26年新增授信500亿，协创新增授信1000亿；高资金门槛，需强融资能力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行业竞争格局判断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算力租赁壁垒越来越高，玩家反而越来越少——这是一个典型的马太效应赛道，强者恒强。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订单规模越来越大（万卡集群起步，5年租约），需要越来越强的资金实力与交付能力。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当前国内算力出现'爆单+挑单做'状态，有业绩的公司和没业绩的公司走势天差地别。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超微事件担忧：调研答案是'渠道多元化，服务器涨价可持续向下游传导'，非合规渠道不做有别家做，合规渠道H200下半年有望正式引进。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警示：纯炒概念、拿不到订单、放不出业绩的相关公司存在将来爆雷风险。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市场规模与竞争格局展望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2026年算力租赁市场规模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预计2600亿元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券商研报预测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三大CSP合计资本开支（国内26年）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&gt;6000亿元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字节/阿里/腾讯等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算力租赁形式占比假设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约30%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保守估算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市场空间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约1800亿元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对应算力租赁直接市场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中美云厂商Capex差距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美国数万亿 vs 中国数千亿（人民币）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国内资本开支严重不足，正在追赶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九、算力租赁商业模式重构：从固定收租走向Token分成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传统模式 vs 新模式对比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传统模式：裸算力出租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新模式：模型服务/Token分成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资产性质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重资产垫资，前期投入巨大，回收周期长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深度绑定模型大厂，建立长期战略合作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固定月租，单一，增长受限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Token流水抽成，收入与AI模型使用量直接挂钩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合同期限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5年长约，锁定但灵活性差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长期绑定+按使用量浮动，弹性大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天花板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固定租金，上限明确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突破固定租金限制，分享AI浪潮红利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估值体系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PE估值（基于当前盈利能力）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PS估值（基于营收规模和未来增长潜力），更具爆发性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Token分成模式的深层逻辑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AI大厂的Token非常稀缺——智普、DeepSeek等模型经常崩溃，大厂为保障正常运行、不降低模型智力，必须锁定算力。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算力租赁公司掌握议价权：'给你算力就等于给你收入'，可以介入大厂的Token分成中去。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商业模式：大厂每卖出一些套餐Token，有一部分钱分给算力租赁公司。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这种分成模式美国已经在发生——Anthropic已在和算力租赁厂商谈同样的分成模式。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国内头部大模型公司也在探讨这种商业模式，预计接下来很快会有所进展。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结论：算力租赁估值体系从赚租金切换向参与大厂Token收入，这是市场尚未充分定价的重估逻辑。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云计算AI算力涨价传导机制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具体动作/数据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第一层：三重涨价驱动力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需求端爆发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Q4至次年Q1 Token消耗量倍增至六倍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恶性竞争出清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第三方大模型厂商大量消耗底层算力池，行业优化利润结构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成本端不可逆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上游AI服务器及存储价格上升，必须向下游传导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第二层：核心涨价动作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GPU云主机/弹性裸金属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涨幅5%-30%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CPFS并行文件存储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同步涨价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缓冲期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设置1个月过渡期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第三层：客户分层策略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≥300万元大客户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可单点谈判，头部客户涨幅约5%-10%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&lt;300万元客户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无议价空间，执行统一涨价标准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十、算力租赁财务重估：隐蔽利润释放驱动价值提升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设备残值重估：账面15% vs 实际70%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按照传统会计准则，算力公司经过5年折旧后账面残值只剩15%。但5年前的卡到现在依然能出租，且今年价格实现了上涨。机构测算实际残值可达到70%，而非15%。银行已认可算力租赁公司的实际残值，这带来财务成本的持续收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财务指标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传统逻辑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重估后逻辑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变化幅度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设备账面残值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实际残值重估70%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净利率水平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预期向20%+跃升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+5%+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折旧压力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持续较高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折旧期满后释放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显著下降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财务费用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较高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随银行认可残值，融资成本下降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持续收缩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0"/>
              <w:left w:val="single" w:color="375623" w:sz="10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净利率提升的三重来源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租金大幅上升：供需越紧张，议价权越强，连国产算力都不够买，海外算力更加供不应求。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财务费用持续降低：折旧期满后残值重估，银行认可实际残值，融资成本收缩。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Token分成模式升级：新商业模式带来额外收入流，进一步强化净利率。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行业净利率有望从15%向20%甚至更高区域迈进。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四大核心算力租赁标的画像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业务展望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协创数据（A）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千亿授信+80亿算力集采龙头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Q1归母净利6.5-8.5亿（YoY+284%-402%），Q2预计8-10集群贡献利润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资金优势显著，算力规模快速扩张，利润逐季大增，业绩节奏确定性向上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利通电子（B）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深度绑定腾讯龙头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锁定未来5年内超50亿元算力租赁订单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头部客户粘性强，收入稳定性与增长潜力兼备，卖方关注度较低存预期差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宏景科技（C）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算力租赁规模龙一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首个拿到B300订单，新增授信500亿，首批拿到B300，交付进度业内最快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智慧城市与算力基础设施协同，政府与企业客户基础稳定，万卡集群长约落地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盈峰环境（D）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环保龙头切入算力新赛道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三到五个万卡集群规划，绿电零碳优势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利用环保领域既有资源切入新增长点，多元化战略，潜在市场空间广阔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十一、存储：被低估的AI基础设施核心受益方向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全球存储市场2026年展望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2026年全球存储市场规模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约3000亿美元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+39% YoY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服务器DRAM占比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超过50%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最大单一市场，AI算力驱动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数据中心NAND需求增速预计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+60%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AI基础设施拉动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服务器端DRAM CAGR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约32.6%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远高于PC和移动端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服务器端NAND CAGR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约28.3%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同样显著高于其他细分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存储三大受益逻辑：①训练与推理需要更高内存带宽和更大容量配置；②多模态、Agent、企业级知识库调用显著提升存储密度需求；③AIDC建设不只是装算力，必须配套高速存储与并行文件系统。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关键认知：存储板块不能只按传统消费电子逻辑来看，应纳入AI基础设施核心链条，按照服务器端的高成长逻辑重新定价。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细分市场占比与CAGR对比（2026年预测）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细分市场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2026年占比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AI相关性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服务器DRAM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超50%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约32.6%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最核心受益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移动端DRAM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27.7%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PC端DRAM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AI贡献有限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数据中心NAND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约28.3%（需求增速60%）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 核心受益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移动端NAND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PC端NAND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8.1%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AI贡献有限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十二、AI超级节点架构推动交换芯片需求爆发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Scale-out vs Scale-up：架构对比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传统Scale-out架构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AI超级节点Scale-up架构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网络特点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连接稀疏、层级多（核心-汇聚-接入三级）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高密度互联、核心枢纽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GPU:交换芯片比例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约1:4至1:8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接近1:1甚至更高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单集群规模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通常数百卡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支持8192卡互联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带宽需求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基础以太网（G级）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Scale-up是Scale-out的40倍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时延要求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较高延迟可接受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极低延迟，&lt;1μs，T级互联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核心交换芯片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12.8T-25.6T通用级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51.2T/25.6T高性能级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配套芯片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LRS+HRS合计较少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合计超9500颗（参考华为Atlas 950）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Web服务、数据库、非算力场景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AI大模型训练、HPC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交换芯片需求爆发的四大驱动力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AI大模型参数指数级增长 → 节点间通信数据量爆增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训练数据海量吞吐需求 → 高带宽互联成为刚需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节点间通信效率成为瓶颈 → 低延迟高性能交换芯片不可或缺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④ 网络与算力深度融合、一体化设计 → 交换芯片成为算力底座核心组件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结论：交换芯片的机会不只是国产替代，而是架构升级导致的绝对需求爆发。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盛科通信国产高端交换芯片路线图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5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客户/生态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2023年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Arctic系列25.6T完成技术验证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技术验证完成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国产高端交换芯片具备基础能力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2024年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小批量交付/客户送样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H3C、锐捷、阿里NPO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进入头部客户验证环节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2025年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大批量出货放量期，市场份额提升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国产替代加速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规模化验证成功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51.2T下一代旗舰研发顺利，面向国产超节点全面铺开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支撑AI算力集群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对标博通Tomahawk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2027年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51.2T全面部署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国产超节点生态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与博通旗舰产品同台竞技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0"/>
              <w:left w:val="single" w:color="375623" w:sz="10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催化剂事件：阿里发布3.2T NPO交换机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方案：采用4颗25.6T国产芯片（盛科）构建阿里3.2T NPO交换机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效果：成本降低30%，功耗降低50%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意义：关键技术突破，验证了国产芯片在超大规模数据中心的高效能应用，加速产业生态成熟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当前阶段判断：国产高端交换芯片逻辑不再只是'能不能做出来'，而是进入'能不能真正上量、进入大规模数据中心场景'的验证期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十三、中美算力代差与H200性能定位分析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H200是'次优解'而非完全解禁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28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芯片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性能水平（H20=1x）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出口管制状态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1x（基准）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可获取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基础能力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约6x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获批但阉割（带宽限制）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次优解，与Blackwell存在明显代差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Blackwell系列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远高于H200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严格禁售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最先进方案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美方出口管制核心策略解读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核心观点：H200是'次优解'，美方目标并非完全断供，而是通过精准出口控制维持对华算力'跟跑'状态并保持技术代差。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无H200出口情景（虚线A）：美国算力优势维持在21-49倍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开放H200出口情景（实线B）：美国算力优势缩小至约6倍，但仍保持明显代差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战略含义：让中国始终拿不到最优解，只能拿到'足以发展、但不足以追平'的次优解。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结论：H200缓解带来产业建设加速，但不改变国产替代长期逻辑；短期靠H200缓解节奏，中长期仍必须依赖国产芯片、服务器、交换、AIDC体系持续推进。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十四、AI产业链投资研判：国内光通信与相关方向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TPU v7驱动的国内光产业链逻辑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Anthropic年化收入快速增长，锁定谷歌3.5GW算力（核心硬件为TPU），谷歌TPU v7新一代技术升级强制100%采用液冷（单芯片功耗980W），并引入OCS光路交换技术。TPU出货目标2026年上调50%（目标产量提升至600万颗），四大关键环节形成产业链受益链条。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核心环节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技术背景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主要受益方向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当前市场地位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OCS光路交换机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TPU v7核心技术，功率与延迟优于传统电交换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赛微、藤井、德科立为核心；光库/福晶为次核心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资金追捧最强方向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800G光模块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TPU算力集群骨干，中际旭创占谷歌A脑约70%份额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中际旭创、新易盛、华工科技等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机构核心品种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高端PCB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800G光模块+44层高阶PCB为算力集群核心骨干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盛宏科技（约40%份额）、深南电路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机构核心品种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液冷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TPU v7强制100%液冷，单芯片功耗980W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英维克、森蓝环境、同心科技等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已有较大涨幅，位置尴尬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光芯片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磷化铟为主材料，紧缺25-50%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源杰科技、世嘉电子、长光华芯、永鼎股份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机构慢牛模式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光纤光缆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配套需求，部分品种已出现顶部结构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长飞光纤（相对较强）；亨通/烽火/中天已偏弱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整体偏弱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存储芯片（国内+海外）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主要标的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风险提示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国内核心跟踪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德明利、香农信创、江波龙、百维存储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近期涨幅较大，炒作属性较强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估值偏高，一旦趋势反转下跌快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国内基本面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兆易创新、普冉股份、东芯股份、恒烁股份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基本面相对扎实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波动较大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海外（推荐关注）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美光科技、西部数据/闪迪、SK海力士、三星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基本面更扎实，持续创新高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汇率和通道成本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燃气轮机与电力基础设施（北美缺电逻辑）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东方电气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燃气轮机机构核心龙头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基本面最佳，机构最追捧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稳健型，每天涨幅1-2%但少有大跌大涨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长源东谷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汽配→燃气轮机转型，先行者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底层业务变化，高弹性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约5板预期，高风险高收益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中国动力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燃气轮机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历史走出三天两板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游资偏好，进攻性强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万泽股份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燃气轮机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历史进攻性最强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游资活跃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欧陆通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电源龙头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出口北美，机构品种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近期反弹最多机构品种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伊戈尔/金盘科技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正宗出口北美电力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北美已有实际业务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机构品种，非炒作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十五、把整条产业链串起来：2026年最完整的产业逻辑闭环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2026年AI产业逻辑完整闭环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第一环：AI应用持续爆发 → Token消耗激增（Agent/CoT/多模态使单次算力成本非线性上升）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第二环：需求端爆发 → 大厂Capex实质落地 → 大规模AIDC项目启动，招投标放量，GW级园区成常态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第三环：高功率AIDC建设 → GPU服务器/液冷/电源/配电/交换芯片/光模块/存储/并行文件系统一揽子需求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第四环：算力供需错配 → 租赁价格和云服务价格上行 → 算力租赁从重资产收租升级为Token分成平台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第五环：中国模型凭借更低Token成本形成全球定价优势 → 反过来带动国内推理算力需求继续爆发，形成正反馈飞轮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第六环：飞轮转起来后，AIDC不是一轮主题，而是未来数年的基础设施主线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十六、2026年最值得把握的五大产业方向与优先级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1900"/>
        <w:gridCol w:w="1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产业方向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重点标的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AIDC建设主线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GW级园区+招投标翻倍+高功率机柜占比提升，产业景气最核心位置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算力租赁四龙头、AIDC相关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总龙头逻辑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算力租赁与云服务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价格上涨+议价能力提升+商业模式升级+利润率抬升+估值体系切换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协创数据、宏景科技、利通电子、盈峰环境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最直接短期弹性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存储主线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服务器DRAM+数据中心NAND是AI基础设施被低估的重要增量，景气确定性高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美光/西部数据/海力士（海外）；德明利/江波龙（国内弹性）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中长期确定性强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交换芯片与高速互联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Scale-up超节点推动交换芯片用量性能要求大幅提升，国产进入放量验证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盛科通信及产业链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架构升级绝对需求爆发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光通信（国内光）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TPU v7四大环节受益，OCS/光模块/PCB/液冷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中际旭创/新易盛/盛宏科技/藤井/德科立等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机构品种，需大环境配合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国产替代与生态繁荣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H200只是短期缓解，国产芯片/服务器/交换/软件栈/AIDC生态持续推进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国产算力整体产业链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中长期最大空间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十七、当前市场操作框架与风险提示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指数环境研判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沪指临近上升趋势线突破关键位（约4,009-4,011点），但成交量持续低迷（维持2.3-2.5万亿以下，历史上升趋势期均在2.6万亿以上），中东地缘政治不确定性（4月22日关键节点）压制资金情绪。短线板块效应分散，无明显资金聚集效应，多数标的属超跌反弹性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操作场景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触发信号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场景①：市场自发突破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有效站稳上升趋势+成交量&gt;2.6万亿，市场合力出现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积极布局，优先算力租赁+国内光双线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场景②：国家队拉升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低量拉升金融板块，近似25年4月路径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等待1-2周合力出现，再逐步参与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场景③：继续横盘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成交量持续萎缩，板块效应不聚集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保持观望，持续更新备选清单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场景④：再次下探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跌破关键支撑，60分钟以上底部结构确认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等待底部确认后出手，不抢跑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核心操作原则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不见兔子不撒鹰——追求持续性而非最低点。上升趋势确立后，任何位置买入都是赚钱的，早抄底或晚抄底对最终收益差异不大。等待信号后出手远优于提前布局后承受决策成本消耗。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17.3 风险提示</w:t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1. 地缘政治风险：中东局势4月22日节点若继续升级，全球风险偏好大幅下降，A股可能再次走弱，等待局势明朗化。</w:t>
      </w:r>
    </w:p>
    <w:p>
      <w:pPr>
        <w:spacing w:after="0" w:before="60"/>
      </w:pPr>
      <w:r>
        <w:t xml:space="preserve"/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2. b浪陷阱风险：当前上涨可能仅为b浪反弹，成交量未有效放量前切勿激进建仓，后续存在c浪下跌风险。</w:t>
      </w:r>
    </w:p>
    <w:p>
      <w:pPr>
        <w:spacing w:after="0" w:before="60"/>
      </w:pPr>
      <w:r>
        <w:t xml:space="preserve"/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3. 标的位置风险：大多数AI方向标的已从3月低点反弹至前期高点附近，可上可下，指数不配合则补跌概率较大。</w:t>
      </w:r>
    </w:p>
    <w:p>
      <w:pPr>
        <w:spacing w:after="0" w:before="60"/>
      </w:pPr>
      <w:r>
        <w:t xml:space="preserve"/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4. 逻辑过时风险：若两周以上指数才突破，当前梳理的备选标的需全部重新评估，届时会产生新的领涨品种。</w:t>
      </w:r>
    </w:p>
    <w:p>
      <w:pPr>
        <w:spacing w:after="0" w:before="60"/>
      </w:pPr>
      <w:r>
        <w:t xml:space="preserve"/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5. 纯概念爆雷风险：拿不到订单、放不出业绩的算力租赁相关概念公司，存在将来爆雷风险，需严格区分。</w:t>
      </w:r>
    </w:p>
    <w:p>
      <w:pPr>
        <w:spacing w:after="0" w:before="60"/>
      </w:pPr>
      <w:r>
        <w:t xml:space="preserve"/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6. 算力通胀缓解风险：若H200供给大幅放量或国产算力超预期，租赁价格可能承压，需动态跟踪供需变化。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十八、综合结论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这组研究材料最核心的价值，在于它完整揭示了一个事实：</w:t>
      </w:r>
    </w:p>
    <w:p>
      <w:pPr>
        <w:spacing w:after="0" w:before="60"/>
      </w:pPr>
      <w:r>
        <w:t xml:space="preserve"/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2026年，AI产业的竞争中心将从模型参数竞争，全面转向基础设施竞争；从训练竞争，转向推理与服务竞争；从卖硬件竞争，转向平台化分成竞争。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AIDC是这个时代的物理底座，算力租赁是流量入口，存储和交换芯片是关键配套，Token成本是全球竞争力的本质指标，商业模式升级决定估值空间。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用一句话总结整套产业主线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AI不是只会带来模型公司机会，它正在重塑整个数字基础设施产业的资本开支结构、盈利模式和估值体系。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2026年，是这条主线从逻辑走向兑现的关键一年。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算力供给决定AI发展上限，谁掌握了算力，谁就掌握了这个时代最重要的资产。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2" w:space="1"/>
        </w:pBdr>
        <w:spacing w:after="100" w:before="10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免责声明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本报告内容整理自市场调研、产业链跟踪及机构交流纪要，仅供内部研究参考，不构成任何形式的投资建议。报告中涉及的个股及行业观点均为研究性判断，不代表对相关证券的推荐或评级。投资者应根据自身风险承受能力独立决策，并对投资结果自行承担责任。市场有风险，投资需谨慎。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本报告仅供内部研究参考，不构成任何投资建议。投资有风险，决策需谨慎。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AIDC与AI算力产业链深度研究报告</w:t>
    </w:r>
    <w:r>
      <w:rPr>
        <w:rFonts w:ascii="Arial" w:cs="Arial" w:eastAsia="Arial" w:hAnsi="Arial"/>
        <w:color w:val="AAAAAA"/>
        <w:sz w:val="18"/>
        <w:szCs w:val="18"/>
      </w:rPr>
      <w:t xml:space="preserve">    |    2026年4月14日    |    内部研究参考，不构成投资建议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65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2026-04-14T02:25:03.195Z</dcterms:created>
  <dcterms:modified xsi:type="dcterms:W3CDTF">2026-04-14T02:25:03.196Z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