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6: Modificar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 tipo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mpleado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los 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 varchar(10)”, “Nombre varchar(10)”, “Cargo varchar(9)”, “fechaIng date”, “sueldo number(9)”, “somision number (9)”, y “anticipo number (9)”, la función “sueldo_liquido”, que devuelve un number, y el procedimiento “aumento_sueldo”  que recibe como parámetro el aumento (number).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el body para dicho tipo desarrollando la función y el procedimiento.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sueldo líquido se calculará  como “(sueldo +comisión )- anticipo”, y el aumento de sueldo se calculará como “sueldo+aumento”.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Altera el tipo Empleado y añade el procedimiento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setAnticipo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que recibe como parámetro el anticipo de tipo number.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 el body para el nuevo método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setAnticipo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Crear una tabla empleados de tipo empleado.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Insertar dos o tres empleados, con estos datos.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drawing>
          <wp:inline distB="0" distT="0" distL="0" distR="0">
            <wp:extent cx="5400040" cy="1483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Crear un bloque PL/SQL para listar el sueldo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líquido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del empleado rut=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Aumentarle el sueldo con 400 euros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Listar el sueldo aumentado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 salida será 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sigue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drawing>
          <wp:inline distB="0" distT="0" distL="0" distR="0">
            <wp:extent cx="3857625" cy="285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Persistir en la tabla empleados el sueldo aumentado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drawing>
          <wp:inline distB="0" distT="0" distL="0" distR="0">
            <wp:extent cx="5400040" cy="16421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76" w:lineRule="auto"/>
        <w:ind w:left="425.19685039370086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Sacar los sueldos y sus sueldos líquidos de todos los empleados. OJO: poner alias en las funciones dentro de cursores.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0IoKv20M0qSx9Jag/zD4HilTkA==">CgMxLjAyCGguZ2pkZ3hzOAByITE2TTRaLS1zOGV6Y1ZtZHJlcm5fem5EU0p1M3dMdUc1Mg==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