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8EBC" w14:textId="77777777" w:rsidR="000F4C1C" w:rsidRPr="00BE3CEC" w:rsidRDefault="00000000">
      <w:pPr>
        <w:spacing w:after="20"/>
        <w:jc w:val="center"/>
        <w:rPr>
          <w:color w:val="000000" w:themeColor="text1"/>
        </w:rPr>
      </w:pPr>
      <w:r w:rsidRPr="00BE3CEC">
        <w:rPr>
          <w:b/>
          <w:bCs/>
          <w:color w:val="000000" w:themeColor="text1"/>
          <w:sz w:val="26"/>
          <w:szCs w:val="26"/>
        </w:rPr>
        <w:t>DESEMPEÑO COMERCIAL Y ESTRATEGIA — RESTAURANTE LA ANALÍTICA</w:t>
      </w:r>
    </w:p>
    <w:p w14:paraId="28DDA07C" w14:textId="77777777" w:rsidR="000F4C1C" w:rsidRPr="00BE3CEC" w:rsidRDefault="00000000">
      <w:pPr>
        <w:spacing w:after="100"/>
        <w:jc w:val="center"/>
        <w:rPr>
          <w:color w:val="000000" w:themeColor="text1"/>
        </w:rPr>
      </w:pPr>
      <w:r w:rsidRPr="00BE3CEC">
        <w:rPr>
          <w:i/>
          <w:iCs/>
          <w:color w:val="000000" w:themeColor="text1"/>
          <w:sz w:val="16"/>
          <w:szCs w:val="16"/>
        </w:rPr>
        <w:t>Informe ejecutivo — Semanas 1 y 2 de operación</w:t>
      </w:r>
    </w:p>
    <w:p w14:paraId="596274E2" w14:textId="77777777" w:rsidR="000F4C1C" w:rsidRPr="00BE3CEC" w:rsidRDefault="00000000">
      <w:pPr>
        <w:spacing w:before="140" w:after="40"/>
        <w:rPr>
          <w:color w:val="000000" w:themeColor="text1"/>
        </w:rPr>
      </w:pPr>
      <w:r w:rsidRPr="00BE3CEC">
        <w:rPr>
          <w:b/>
          <w:bCs/>
          <w:color w:val="000000" w:themeColor="text1"/>
        </w:rPr>
        <w:t>1. Resumen ejecutivo</w:t>
      </w:r>
    </w:p>
    <w:p w14:paraId="312AF904" w14:textId="77777777" w:rsidR="000F4C1C" w:rsidRPr="00BE3CEC" w:rsidRDefault="00000000">
      <w:pPr>
        <w:spacing w:after="60"/>
        <w:rPr>
          <w:color w:val="000000" w:themeColor="text1"/>
        </w:rPr>
      </w:pPr>
      <w:r w:rsidRPr="00BE3CEC">
        <w:rPr>
          <w:color w:val="000000" w:themeColor="text1"/>
          <w:sz w:val="17"/>
          <w:szCs w:val="17"/>
        </w:rPr>
        <w:t>En las primeras dos semanas de operación se registraron 500 transacciones (250 por semana) por un total de $3,886.56 en ingresos. Los ingresos bajaron levemente de $1,962.68 en la semana 1 a $1,923.88 en la semana 2 (-2.0%), y el ingreso promedio por transacción pasó de $7.85 a $7.70. El hallazgo principal: el producto más vendido (</w:t>
      </w:r>
      <w:proofErr w:type="spellStart"/>
      <w:r w:rsidRPr="00BE3CEC">
        <w:rPr>
          <w:color w:val="000000" w:themeColor="text1"/>
          <w:sz w:val="17"/>
          <w:szCs w:val="17"/>
        </w:rPr>
        <w:t>Drink</w:t>
      </w:r>
      <w:proofErr w:type="spellEnd"/>
      <w:r w:rsidRPr="00BE3CEC">
        <w:rPr>
          <w:color w:val="000000" w:themeColor="text1"/>
          <w:sz w:val="17"/>
          <w:szCs w:val="17"/>
        </w:rPr>
        <w:t xml:space="preserve">, 59 registros) es de los que menos ingresos genera (~$101), mientras que </w:t>
      </w:r>
      <w:proofErr w:type="spellStart"/>
      <w:r w:rsidRPr="00BE3CEC">
        <w:rPr>
          <w:color w:val="000000" w:themeColor="text1"/>
          <w:sz w:val="17"/>
          <w:szCs w:val="17"/>
        </w:rPr>
        <w:t>Steak</w:t>
      </w:r>
      <w:proofErr w:type="spellEnd"/>
      <w:r w:rsidRPr="00BE3CEC">
        <w:rPr>
          <w:color w:val="000000" w:themeColor="text1"/>
          <w:sz w:val="17"/>
          <w:szCs w:val="17"/>
        </w:rPr>
        <w:t xml:space="preserve"> encabeza los ingresos ($1,249.50) con menos de la mitad de esas ventas. Además, solo 1 de cada 5 clientes de la semana 1 volvió a comprar en la semana 2.</w:t>
      </w:r>
    </w:p>
    <w:p w14:paraId="589FCC0B" w14:textId="77777777" w:rsidR="000F4C1C" w:rsidRPr="00BE3CEC" w:rsidRDefault="00000000">
      <w:pPr>
        <w:spacing w:before="140" w:after="40"/>
        <w:rPr>
          <w:color w:val="000000" w:themeColor="text1"/>
        </w:rPr>
      </w:pPr>
      <w:r w:rsidRPr="00BE3CEC">
        <w:rPr>
          <w:b/>
          <w:bCs/>
          <w:color w:val="000000" w:themeColor="text1"/>
        </w:rPr>
        <w:t>2. Desempeño del menú: ingresos vs. frecuencia de compra</w:t>
      </w:r>
    </w:p>
    <w:p w14:paraId="0563A7AD" w14:textId="77777777" w:rsidR="000F4C1C" w:rsidRPr="00BE3CEC" w:rsidRDefault="00000000">
      <w:pPr>
        <w:spacing w:after="60"/>
        <w:rPr>
          <w:color w:val="000000" w:themeColor="text1"/>
        </w:rPr>
      </w:pPr>
      <w:r w:rsidRPr="00BE3CEC">
        <w:rPr>
          <w:color w:val="000000" w:themeColor="text1"/>
          <w:sz w:val="17"/>
          <w:szCs w:val="17"/>
        </w:rPr>
        <w:t xml:space="preserve">Al comparar los 10 productos del menú, </w:t>
      </w:r>
      <w:proofErr w:type="spellStart"/>
      <w:r w:rsidRPr="00BE3CEC">
        <w:rPr>
          <w:color w:val="000000" w:themeColor="text1"/>
          <w:sz w:val="17"/>
          <w:szCs w:val="17"/>
        </w:rPr>
        <w:t>Drink</w:t>
      </w:r>
      <w:proofErr w:type="spellEnd"/>
      <w:r w:rsidRPr="00BE3CEC">
        <w:rPr>
          <w:color w:val="000000" w:themeColor="text1"/>
          <w:sz w:val="17"/>
          <w:szCs w:val="17"/>
        </w:rPr>
        <w:t xml:space="preserve"> es el más vendido (59 registros) pero uno de los que menos ingresos aporta (~$101), mientras que </w:t>
      </w:r>
      <w:proofErr w:type="spellStart"/>
      <w:r w:rsidRPr="00BE3CEC">
        <w:rPr>
          <w:color w:val="000000" w:themeColor="text1"/>
          <w:sz w:val="17"/>
          <w:szCs w:val="17"/>
        </w:rPr>
        <w:t>Steak</w:t>
      </w:r>
      <w:proofErr w:type="spellEnd"/>
      <w:r w:rsidRPr="00BE3CEC">
        <w:rPr>
          <w:color w:val="000000" w:themeColor="text1"/>
          <w:sz w:val="17"/>
          <w:szCs w:val="17"/>
        </w:rPr>
        <w:t xml:space="preserve"> genera el mayor ingreso ($1,249.50) con menos ventas (50 registros). Frecuencia e ingresos no son equivalentes: un producto de bajo costo puede venderse mucho sin ser relevante para el ingreso total, y viceversa. Esto sugiere evaluar el menú con ambos indicadores, no solo con volumen de ventas.</w:t>
      </w:r>
    </w:p>
    <w:p w14:paraId="5B245DFB" w14:textId="77777777" w:rsidR="000F4C1C" w:rsidRPr="00BE3CEC" w:rsidRDefault="00000000">
      <w:pPr>
        <w:spacing w:after="40"/>
        <w:jc w:val="center"/>
        <w:rPr>
          <w:color w:val="000000" w:themeColor="text1"/>
        </w:rPr>
      </w:pPr>
      <w:r w:rsidRPr="00BE3CEC">
        <w:rPr>
          <w:noProof/>
          <w:color w:val="000000" w:themeColor="text1"/>
        </w:rPr>
        <w:drawing>
          <wp:inline distT="0" distB="0" distL="0" distR="0" wp14:anchorId="67E342A5" wp14:editId="1480B426">
            <wp:extent cx="4095750" cy="1752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40A0" w14:textId="77777777" w:rsidR="000F4C1C" w:rsidRPr="00BE3CEC" w:rsidRDefault="00000000">
      <w:pPr>
        <w:spacing w:before="140" w:after="40"/>
        <w:rPr>
          <w:color w:val="000000" w:themeColor="text1"/>
        </w:rPr>
      </w:pPr>
      <w:r w:rsidRPr="00BE3CEC">
        <w:rPr>
          <w:b/>
          <w:bCs/>
          <w:color w:val="000000" w:themeColor="text1"/>
        </w:rPr>
        <w:t>3. Comportamiento semanal</w:t>
      </w:r>
    </w:p>
    <w:p w14:paraId="4559F6D1" w14:textId="77777777" w:rsidR="000F4C1C" w:rsidRPr="00BE3CEC" w:rsidRDefault="00000000">
      <w:pPr>
        <w:spacing w:after="60"/>
        <w:rPr>
          <w:color w:val="000000" w:themeColor="text1"/>
        </w:rPr>
      </w:pPr>
      <w:r w:rsidRPr="00BE3CEC">
        <w:rPr>
          <w:color w:val="000000" w:themeColor="text1"/>
          <w:sz w:val="17"/>
          <w:szCs w:val="17"/>
        </w:rPr>
        <w:t>Los registros de venta se mantuvieron estables (250 en cada semana), pero los ingresos y el ingreso promedio por registro cayeron levemente en la semana 2. Con solo dos semanas de datos no es posible atribuir esta variación a una causa específica; se recomienda dar seguimiento en semanas adicionales antes de sacar conclusiones definitivas.</w:t>
      </w:r>
    </w:p>
    <w:p w14:paraId="275E8EB6" w14:textId="77777777" w:rsidR="000F4C1C" w:rsidRPr="00BE3CEC" w:rsidRDefault="00000000">
      <w:pPr>
        <w:spacing w:after="40"/>
        <w:jc w:val="center"/>
        <w:rPr>
          <w:color w:val="000000" w:themeColor="text1"/>
        </w:rPr>
      </w:pPr>
      <w:r w:rsidRPr="00BE3CEC">
        <w:rPr>
          <w:noProof/>
          <w:color w:val="000000" w:themeColor="text1"/>
        </w:rPr>
        <w:drawing>
          <wp:inline distT="0" distB="0" distL="0" distR="0" wp14:anchorId="288BC11D" wp14:editId="147C4EED">
            <wp:extent cx="2476500" cy="1857375"/>
            <wp:effectExtent l="0" t="0" r="0" b="0"/>
            <wp:docPr id="345618609" name="Imagen 345618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AD56" w14:textId="77777777" w:rsidR="000F4C1C" w:rsidRPr="00BE3CEC" w:rsidRDefault="00000000">
      <w:pPr>
        <w:spacing w:before="140" w:after="40"/>
        <w:rPr>
          <w:color w:val="000000" w:themeColor="text1"/>
        </w:rPr>
      </w:pPr>
      <w:r w:rsidRPr="00BE3CEC">
        <w:rPr>
          <w:b/>
          <w:bCs/>
          <w:color w:val="000000" w:themeColor="text1"/>
        </w:rPr>
        <w:t>4. Diagnóstico de recurrencia</w:t>
      </w:r>
    </w:p>
    <w:p w14:paraId="1627B88D" w14:textId="77777777" w:rsidR="000F4C1C" w:rsidRPr="00BE3CEC" w:rsidRDefault="00000000">
      <w:pPr>
        <w:spacing w:after="60"/>
        <w:rPr>
          <w:color w:val="000000" w:themeColor="text1"/>
        </w:rPr>
      </w:pPr>
      <w:r w:rsidRPr="00BE3CEC">
        <w:rPr>
          <w:color w:val="000000" w:themeColor="text1"/>
          <w:sz w:val="17"/>
          <w:szCs w:val="17"/>
        </w:rPr>
        <w:t>De los 221 clientes únicos de la semana 1, 46 volvieron a comprar en la semana 2 (tasa de recurrencia: 20.8%). Esto indica una base de clientes mayormente ocasional. Se recomienda lanzar un incentivo de regreso (cupón o programa de fidelización) dirigido a compradores de una sola semana, para elevar la recurrencia y generar más datos que permitan medir su efecto.</w:t>
      </w:r>
    </w:p>
    <w:p w14:paraId="0CDFB9E4" w14:textId="77777777" w:rsidR="000F4C1C" w:rsidRPr="00BE3CEC" w:rsidRDefault="00000000">
      <w:pPr>
        <w:spacing w:before="140" w:after="40"/>
        <w:rPr>
          <w:color w:val="000000" w:themeColor="text1"/>
        </w:rPr>
      </w:pPr>
      <w:r w:rsidRPr="00BE3CEC">
        <w:rPr>
          <w:b/>
          <w:bCs/>
          <w:color w:val="000000" w:themeColor="text1"/>
        </w:rPr>
        <w:t>5. Perfil de consumo y recomendación final</w:t>
      </w:r>
    </w:p>
    <w:p w14:paraId="7DEB09EF" w14:textId="77777777" w:rsidR="000F4C1C" w:rsidRPr="00BE3CEC" w:rsidRDefault="00000000">
      <w:pPr>
        <w:spacing w:after="60"/>
        <w:rPr>
          <w:color w:val="000000" w:themeColor="text1"/>
        </w:rPr>
      </w:pPr>
      <w:r w:rsidRPr="00BE3CEC">
        <w:rPr>
          <w:color w:val="000000" w:themeColor="text1"/>
          <w:sz w:val="17"/>
          <w:szCs w:val="17"/>
        </w:rPr>
        <w:t xml:space="preserve">A nivel agregado por ocupación, los mayores ingresos acumulados provienen de: </w:t>
      </w:r>
      <w:proofErr w:type="spellStart"/>
      <w:r w:rsidRPr="00BE3CEC">
        <w:rPr>
          <w:color w:val="000000" w:themeColor="text1"/>
          <w:sz w:val="17"/>
          <w:szCs w:val="17"/>
        </w:rPr>
        <w:t>Compensation</w:t>
      </w:r>
      <w:proofErr w:type="spellEnd"/>
      <w:r w:rsidRPr="00BE3CEC">
        <w:rPr>
          <w:color w:val="000000" w:themeColor="text1"/>
          <w:sz w:val="17"/>
          <w:szCs w:val="17"/>
        </w:rPr>
        <w:t xml:space="preserve"> </w:t>
      </w:r>
      <w:proofErr w:type="spellStart"/>
      <w:r w:rsidRPr="00BE3CEC">
        <w:rPr>
          <w:color w:val="000000" w:themeColor="text1"/>
          <w:sz w:val="17"/>
          <w:szCs w:val="17"/>
        </w:rPr>
        <w:t>Analyst</w:t>
      </w:r>
      <w:proofErr w:type="spellEnd"/>
      <w:r w:rsidRPr="00BE3CEC">
        <w:rPr>
          <w:color w:val="000000" w:themeColor="text1"/>
          <w:sz w:val="17"/>
          <w:szCs w:val="17"/>
        </w:rPr>
        <w:t xml:space="preserve"> ($116.68), Sales Representative ($104.18), Marketing Manager ($99.40), </w:t>
      </w:r>
      <w:proofErr w:type="spellStart"/>
      <w:r w:rsidRPr="00BE3CEC">
        <w:rPr>
          <w:color w:val="000000" w:themeColor="text1"/>
          <w:sz w:val="17"/>
          <w:szCs w:val="17"/>
        </w:rPr>
        <w:t>Cost</w:t>
      </w:r>
      <w:proofErr w:type="spellEnd"/>
      <w:r w:rsidRPr="00BE3CEC">
        <w:rPr>
          <w:color w:val="000000" w:themeColor="text1"/>
          <w:sz w:val="17"/>
          <w:szCs w:val="17"/>
        </w:rPr>
        <w:t xml:space="preserve"> </w:t>
      </w:r>
      <w:proofErr w:type="spellStart"/>
      <w:r w:rsidRPr="00BE3CEC">
        <w:rPr>
          <w:color w:val="000000" w:themeColor="text1"/>
          <w:sz w:val="17"/>
          <w:szCs w:val="17"/>
        </w:rPr>
        <w:t>Accountant</w:t>
      </w:r>
      <w:proofErr w:type="spellEnd"/>
      <w:r w:rsidRPr="00BE3CEC">
        <w:rPr>
          <w:color w:val="000000" w:themeColor="text1"/>
          <w:sz w:val="17"/>
          <w:szCs w:val="17"/>
        </w:rPr>
        <w:t xml:space="preserve"> ($80.21) y </w:t>
      </w:r>
      <w:proofErr w:type="spellStart"/>
      <w:r w:rsidRPr="00BE3CEC">
        <w:rPr>
          <w:color w:val="000000" w:themeColor="text1"/>
          <w:sz w:val="17"/>
          <w:szCs w:val="17"/>
        </w:rPr>
        <w:t>Assistant</w:t>
      </w:r>
      <w:proofErr w:type="spellEnd"/>
      <w:r w:rsidRPr="00BE3CEC">
        <w:rPr>
          <w:color w:val="000000" w:themeColor="text1"/>
          <w:sz w:val="17"/>
          <w:szCs w:val="17"/>
        </w:rPr>
        <w:t xml:space="preserve"> Media </w:t>
      </w:r>
      <w:proofErr w:type="spellStart"/>
      <w:r w:rsidRPr="00BE3CEC">
        <w:rPr>
          <w:color w:val="000000" w:themeColor="text1"/>
          <w:sz w:val="17"/>
          <w:szCs w:val="17"/>
        </w:rPr>
        <w:t>Planner</w:t>
      </w:r>
      <w:proofErr w:type="spellEnd"/>
      <w:r w:rsidRPr="00BE3CEC">
        <w:rPr>
          <w:color w:val="000000" w:themeColor="text1"/>
          <w:sz w:val="17"/>
          <w:szCs w:val="17"/>
        </w:rPr>
        <w:t xml:space="preserve"> ($72.69). Estos son patrones de grupo, no afirmaciones sobre clientes individuales.</w:t>
      </w:r>
    </w:p>
    <w:p w14:paraId="3CE9192D" w14:textId="77777777" w:rsidR="000F4C1C" w:rsidRPr="00BE3CEC" w:rsidRDefault="00000000">
      <w:pPr>
        <w:pStyle w:val="Prrafodelista"/>
        <w:numPr>
          <w:ilvl w:val="0"/>
          <w:numId w:val="1"/>
        </w:numPr>
        <w:spacing w:after="30"/>
        <w:rPr>
          <w:color w:val="000000" w:themeColor="text1"/>
        </w:rPr>
      </w:pPr>
      <w:r w:rsidRPr="00BE3CEC">
        <w:rPr>
          <w:color w:val="000000" w:themeColor="text1"/>
          <w:sz w:val="17"/>
          <w:szCs w:val="17"/>
        </w:rPr>
        <w:t>Acción prioritaria: lanzar una campaña de fidelización en la semana 3 dirigida a clientes de compra única, y monitorear su efecto en la tasa de recurrencia y el ingreso promedio por registro.</w:t>
      </w:r>
    </w:p>
    <w:p w14:paraId="557796DB" w14:textId="77777777" w:rsidR="000F4C1C" w:rsidRPr="00BE3CEC" w:rsidRDefault="00000000">
      <w:pPr>
        <w:pBdr>
          <w:top w:val="single" w:sz="2" w:space="2" w:color="AAAAAA"/>
        </w:pBdr>
        <w:spacing w:before="100"/>
        <w:rPr>
          <w:color w:val="000000" w:themeColor="text1"/>
        </w:rPr>
      </w:pPr>
      <w:r w:rsidRPr="00BE3CEC">
        <w:rPr>
          <w:i/>
          <w:iCs/>
          <w:color w:val="000000" w:themeColor="text1"/>
          <w:sz w:val="13"/>
          <w:szCs w:val="13"/>
        </w:rPr>
        <w:t>Nota metodológica: los datos disponibles incluyen precios de venta pero no costos, cantidades ni descuentos. Por tanto, este informe analiza ingresos, frecuencia de compra y recurrencia — no rentabilidad, utilidad ni margen. Las variaciones descritas son asociaciones observadas en dos semanas, no relaciones de causalidad.</w:t>
      </w:r>
    </w:p>
    <w:sectPr w:rsidR="000F4C1C" w:rsidRPr="00BE3CEC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35561"/>
    <w:multiLevelType w:val="hybridMultilevel"/>
    <w:tmpl w:val="49524448"/>
    <w:lvl w:ilvl="0" w:tplc="F3E09154">
      <w:start w:val="1"/>
      <w:numFmt w:val="bullet"/>
      <w:lvlText w:val="●"/>
      <w:lvlJc w:val="left"/>
      <w:pPr>
        <w:ind w:left="720" w:hanging="360"/>
      </w:pPr>
    </w:lvl>
    <w:lvl w:ilvl="1" w:tplc="B440ABFC">
      <w:start w:val="1"/>
      <w:numFmt w:val="bullet"/>
      <w:lvlText w:val="○"/>
      <w:lvlJc w:val="left"/>
      <w:pPr>
        <w:ind w:left="1440" w:hanging="360"/>
      </w:pPr>
    </w:lvl>
    <w:lvl w:ilvl="2" w:tplc="52E69C66">
      <w:start w:val="1"/>
      <w:numFmt w:val="bullet"/>
      <w:lvlText w:val="■"/>
      <w:lvlJc w:val="left"/>
      <w:pPr>
        <w:ind w:left="2160" w:hanging="360"/>
      </w:pPr>
    </w:lvl>
    <w:lvl w:ilvl="3" w:tplc="7908C7DE">
      <w:start w:val="1"/>
      <w:numFmt w:val="bullet"/>
      <w:lvlText w:val="●"/>
      <w:lvlJc w:val="left"/>
      <w:pPr>
        <w:ind w:left="2880" w:hanging="360"/>
      </w:pPr>
    </w:lvl>
    <w:lvl w:ilvl="4" w:tplc="399A1D5C">
      <w:start w:val="1"/>
      <w:numFmt w:val="bullet"/>
      <w:lvlText w:val="○"/>
      <w:lvlJc w:val="left"/>
      <w:pPr>
        <w:ind w:left="3600" w:hanging="360"/>
      </w:pPr>
    </w:lvl>
    <w:lvl w:ilvl="5" w:tplc="CD48F266">
      <w:start w:val="1"/>
      <w:numFmt w:val="bullet"/>
      <w:lvlText w:val="■"/>
      <w:lvlJc w:val="left"/>
      <w:pPr>
        <w:ind w:left="4320" w:hanging="360"/>
      </w:pPr>
    </w:lvl>
    <w:lvl w:ilvl="6" w:tplc="FB22D740">
      <w:start w:val="1"/>
      <w:numFmt w:val="bullet"/>
      <w:lvlText w:val="●"/>
      <w:lvlJc w:val="left"/>
      <w:pPr>
        <w:ind w:left="5040" w:hanging="360"/>
      </w:pPr>
    </w:lvl>
    <w:lvl w:ilvl="7" w:tplc="64AC9B7A">
      <w:start w:val="1"/>
      <w:numFmt w:val="bullet"/>
      <w:lvlText w:val="●"/>
      <w:lvlJc w:val="left"/>
      <w:pPr>
        <w:ind w:left="5760" w:hanging="360"/>
      </w:pPr>
    </w:lvl>
    <w:lvl w:ilvl="8" w:tplc="39F83DD8">
      <w:start w:val="1"/>
      <w:numFmt w:val="bullet"/>
      <w:lvlText w:val="●"/>
      <w:lvlJc w:val="left"/>
      <w:pPr>
        <w:ind w:left="6480" w:hanging="360"/>
      </w:pPr>
    </w:lvl>
  </w:abstractNum>
  <w:num w:numId="1" w16cid:durableId="1788543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C1C"/>
    <w:rsid w:val="000F4C1C"/>
    <w:rsid w:val="0017200C"/>
    <w:rsid w:val="00BE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FE8FBB"/>
  <w15:docId w15:val="{01EDDC13-885C-A343-868A-533B96FA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Sebastian Rojas Cobos</cp:lastModifiedBy>
  <cp:revision>2</cp:revision>
  <dcterms:created xsi:type="dcterms:W3CDTF">2026-08-17T21:04:00Z</dcterms:created>
  <dcterms:modified xsi:type="dcterms:W3CDTF">2026-08-17T21:05:00Z</dcterms:modified>
</cp:coreProperties>
</file>