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12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MOU Dashboard – Getting Started</w:t>
      </w:r>
    </w:p>
    <w:p>
      <w:pPr>
        <w:pStyle w:val="Normal"/>
        <w:rPr>
          <w:rFonts w:ascii="Arial" w:hAnsi="Arial"/>
          <w:color w:val="24292E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>This is a website to allow PIs to easily report to the ICC their Statements of Work in accordance with MOUs.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Heading2"/>
        <w:rPr/>
      </w:pPr>
      <w:r>
        <w:rPr>
          <w:rFonts w:ascii="Arial" w:hAnsi="Arial"/>
          <w:color w:val="24292E"/>
          <w:sz w:val="20"/>
          <w:szCs w:val="20"/>
        </w:rPr>
        <w:t>Supported MOUs</w:t>
      </w:r>
    </w:p>
    <w:p>
      <w:pPr>
        <w:pStyle w:val="Normal"/>
        <w:rPr>
          <w:rFonts w:ascii="Arial" w:hAnsi="Arial"/>
          <w:b/>
          <w:b/>
          <w:bCs/>
          <w:color w:val="24292E"/>
          <w:sz w:val="20"/>
          <w:szCs w:val="20"/>
        </w:rPr>
      </w:pPr>
      <w:r>
        <w:rPr>
          <w:rFonts w:ascii="Arial" w:hAnsi="Arial"/>
          <w:b/>
          <w:bCs/>
          <w:color w:val="24292E"/>
          <w:sz w:val="20"/>
          <w:szCs w:val="20"/>
        </w:rPr>
      </w:r>
    </w:p>
    <w:p>
      <w:pPr>
        <w:pStyle w:val="TextBody"/>
        <w:numPr>
          <w:ilvl w:val="0"/>
          <w:numId w:val="2"/>
        </w:numPr>
        <w:rPr>
          <w:rFonts w:ascii="Arial" w:hAnsi="Arial"/>
          <w:b/>
          <w:b/>
          <w:bCs/>
          <w:color w:val="24292E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IceCube M&amp;O – </w:t>
      </w:r>
      <w:hyperlink r:id="rId2">
        <w:r>
          <w:rPr>
            <w:rStyle w:val="InternetLink"/>
            <w:rFonts w:ascii="Arial" w:hAnsi="Arial"/>
            <w:color w:val="24292E"/>
            <w:sz w:val="20"/>
            <w:szCs w:val="20"/>
          </w:rPr>
          <w:t>https://mou.icecube.aq/mo</w:t>
        </w:r>
      </w:hyperlink>
    </w:p>
    <w:p>
      <w:pPr>
        <w:pStyle w:val="TextBody"/>
        <w:numPr>
          <w:ilvl w:val="0"/>
          <w:numId w:val="2"/>
        </w:numPr>
        <w:rPr>
          <w:rFonts w:ascii="Arial" w:hAnsi="Arial"/>
          <w:b/>
          <w:b/>
          <w:bCs/>
          <w:color w:val="24292E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IceCube Upgrade – </w:t>
      </w:r>
      <w:r>
        <w:rPr>
          <w:rStyle w:val="InternetLink"/>
          <w:rFonts w:ascii="Arial" w:hAnsi="Arial"/>
          <w:color w:val="24292E"/>
          <w:sz w:val="20"/>
          <w:szCs w:val="20"/>
        </w:rPr>
        <w:t>https://mou.icecube.aq/upgrade</w:t>
      </w:r>
    </w:p>
    <w:p>
      <w:pPr>
        <w:pStyle w:val="TextBody"/>
        <w:numPr>
          <w:ilvl w:val="0"/>
          <w:numId w:val="2"/>
        </w:numPr>
        <w:rPr>
          <w:rFonts w:ascii="Arial" w:hAnsi="Arial"/>
          <w:b/>
          <w:b/>
          <w:bCs/>
          <w:color w:val="24292E"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>These steps are the same whether you look at M&amp;O or Upgrade.</w:t>
      </w:r>
    </w:p>
    <w:p>
      <w:pPr>
        <w:pStyle w:val="TextBody"/>
        <w:rPr>
          <w:rFonts w:ascii="Arial" w:hAnsi="Arial"/>
          <w:b/>
          <w:b/>
          <w:bCs/>
          <w:color w:val="24292E"/>
          <w:sz w:val="20"/>
          <w:szCs w:val="20"/>
        </w:rPr>
      </w:pPr>
      <w:r>
        <w:rPr>
          <w:rFonts w:ascii="Arial" w:hAnsi="Arial"/>
          <w:b/>
          <w:bCs/>
          <w:color w:val="24292E"/>
          <w:sz w:val="20"/>
          <w:szCs w:val="20"/>
        </w:rPr>
      </w:r>
    </w:p>
    <w:tbl>
      <w:tblPr>
        <w:tblW w:w="5000" w:type="pct"/>
        <w:jc w:val="left"/>
        <w:tblInd w:w="-15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4a0" w:noHBand="0" w:noVBand="1" w:firstColumn="1" w:lastRow="0" w:lastColumn="0" w:firstRow="1"/>
      </w:tblPr>
      <w:tblGrid>
        <w:gridCol w:w="10224"/>
      </w:tblGrid>
      <w:tr>
        <w:trPr/>
        <w:tc>
          <w:tcPr>
            <w:tcW w:w="10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Arial" w:hAnsi="Arial"/>
                <w:b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24292E"/>
                <w:sz w:val="20"/>
                <w:szCs w:val="20"/>
              </w:rPr>
              <w:t xml:space="preserve">Please note: </w:t>
            </w:r>
          </w:p>
          <w:p>
            <w:pPr>
              <w:pStyle w:val="TextBody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When you have completed your review and any updates you must click the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Confirm</w:t>
            </w:r>
            <w:r>
              <w:rPr>
                <w:rFonts w:ascii="Arial" w:hAnsi="Arial"/>
                <w:sz w:val="20"/>
                <w:szCs w:val="20"/>
              </w:rPr>
              <w:t xml:space="preserve"> buttons — for headcounts, for the statements of work table, and if applicable, computing contributions.</w:t>
            </w:r>
          </w:p>
          <w:p>
            <w:pPr>
              <w:pStyle w:val="TextBody"/>
              <w:widowControl w:val="false"/>
              <w:spacing w:before="0" w:after="140"/>
              <w:rPr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 xml:space="preserve">If there are no updates you must click on the </w:t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Confirm</w:t>
            </w:r>
            <w:r>
              <w:rPr>
                <w:rFonts w:ascii="Arial" w:hAnsi="Arial"/>
                <w:sz w:val="20"/>
                <w:szCs w:val="20"/>
                <w:u w:val="single"/>
              </w:rPr>
              <w:t xml:space="preserve"> buttons to show your institution has been reviewed.</w:t>
            </w:r>
          </w:p>
        </w:tc>
      </w:tr>
    </w:tbl>
    <w:p>
      <w:pPr>
        <w:pStyle w:val="TextBody"/>
        <w:rPr>
          <w:rFonts w:ascii="Arial" w:hAnsi="Arial"/>
          <w:b/>
          <w:b/>
          <w:bCs/>
          <w:color w:val="24292E"/>
          <w:sz w:val="20"/>
          <w:szCs w:val="20"/>
        </w:rPr>
      </w:pPr>
      <w:r>
        <w:rPr>
          <w:rFonts w:ascii="Arial" w:hAnsi="Arial"/>
          <w:b/>
          <w:bCs/>
          <w:color w:val="24292E"/>
          <w:sz w:val="20"/>
          <w:szCs w:val="20"/>
        </w:rPr>
      </w:r>
    </w:p>
    <w:p>
      <w:pPr>
        <w:pStyle w:val="Heading2"/>
        <w:rPr>
          <w:rFonts w:ascii="Arial" w:hAnsi="Arial"/>
          <w:color w:val="24292E"/>
          <w:sz w:val="20"/>
          <w:szCs w:val="20"/>
        </w:rPr>
      </w:pPr>
      <w:r>
        <w:rPr>
          <w:rFonts w:ascii="Arial" w:hAnsi="Arial"/>
          <w:sz w:val="20"/>
          <w:szCs w:val="20"/>
        </w:rPr>
        <w:br/>
      </w:r>
      <w:r>
        <w:rPr>
          <w:rFonts w:ascii="Arial" w:hAnsi="Arial"/>
          <w:color w:val="24292E"/>
          <w:sz w:val="20"/>
          <w:szCs w:val="20"/>
        </w:rPr>
        <w:t>Viewing Data</w:t>
      </w:r>
    </w:p>
    <w:p>
      <w:pPr>
        <w:pStyle w:val="TextBody"/>
        <w:numPr>
          <w:ilvl w:val="0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At the top, is your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 xml:space="preserve">institution’s name </w:t>
      </w:r>
      <w:r>
        <w:rPr>
          <w:rFonts w:ascii="Arial" w:hAnsi="Arial"/>
          <w:color w:val="24292E"/>
          <w:sz w:val="20"/>
          <w:szCs w:val="20"/>
        </w:rPr>
        <w:t>and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 xml:space="preserve"> headcounts</w:t>
      </w:r>
      <w:r>
        <w:rPr>
          <w:rFonts w:ascii="Arial" w:hAnsi="Arial"/>
          <w:color w:val="24292E"/>
          <w:sz w:val="20"/>
          <w:szCs w:val="20"/>
        </w:rPr>
        <w:t>.</w:t>
      </w:r>
    </w:p>
    <w:p>
      <w:pPr>
        <w:pStyle w:val="TextBody"/>
        <w:numPr>
          <w:ilvl w:val="1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>If this is your first time looking at the MOU dashboard, then these headcounts may be blank.</w:t>
      </w:r>
      <w:r>
        <w:rPr>
          <w:rFonts w:ascii="Arial" w:hAnsi="Arial"/>
          <w:i/>
          <w:iCs/>
          <w:color w:val="24292E"/>
          <w:sz w:val="20"/>
          <w:szCs w:val="20"/>
        </w:rPr>
        <w:t xml:space="preserve"> Please, enter these numbers.</w:t>
      </w:r>
      <w:r>
        <w:rPr>
          <w:rFonts w:ascii="Arial" w:hAnsi="Arial"/>
          <w:color w:val="24292E"/>
          <w:sz w:val="20"/>
          <w:szCs w:val="20"/>
        </w:rPr>
        <w:t xml:space="preserve"> </w:t>
      </w:r>
      <w:r>
        <w:rPr>
          <w:rFonts w:ascii="Arial" w:hAnsi="Arial"/>
          <w:i/>
          <w:iCs/>
          <w:color w:val="24292E"/>
          <w:sz w:val="20"/>
          <w:szCs w:val="20"/>
        </w:rPr>
        <w:t>0 is an accepted value.</w:t>
      </w:r>
    </w:p>
    <w:p>
      <w:pPr>
        <w:pStyle w:val="TextBody"/>
        <w:numPr>
          <w:ilvl w:val="1"/>
          <w:numId w:val="3"/>
        </w:numPr>
        <w:rPr/>
      </w:pPr>
      <w:r>
        <w:rPr>
          <w:rFonts w:ascii="Arial" w:hAnsi="Arial"/>
          <w:color w:val="24292E"/>
          <w:sz w:val="20"/>
          <w:szCs w:val="20"/>
        </w:rPr>
        <w:t>If you belong to multiple institutions, clicking the institution name will display a list of institutions to select.</w:t>
      </w:r>
    </w:p>
    <w:p>
      <w:pPr>
        <w:pStyle w:val="TextBody"/>
        <w:numPr>
          <w:ilvl w:val="0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 </w:t>
      </w:r>
      <w:r>
        <w:rPr>
          <w:rFonts w:ascii="Arial" w:hAnsi="Arial"/>
          <w:color w:val="24292E"/>
          <w:sz w:val="20"/>
          <w:szCs w:val="20"/>
        </w:rPr>
        <w:t xml:space="preserve">In the middle, taking up most of the page, is the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statements of work table</w:t>
      </w:r>
      <w:r>
        <w:rPr>
          <w:rFonts w:ascii="Arial" w:hAnsi="Arial"/>
          <w:color w:val="24292E"/>
          <w:sz w:val="20"/>
          <w:szCs w:val="20"/>
        </w:rPr>
        <w:t>.</w:t>
      </w:r>
    </w:p>
    <w:p>
      <w:pPr>
        <w:pStyle w:val="TextBody"/>
        <w:numPr>
          <w:ilvl w:val="1"/>
          <w:numId w:val="3"/>
        </w:numPr>
        <w:rPr>
          <w:rFonts w:ascii="Arial" w:hAnsi="Arial"/>
          <w:color w:val="24292E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The table is wide, zooming out may be helpful to see all of it. </w:t>
      </w:r>
    </w:p>
    <w:p>
      <w:pPr>
        <w:pStyle w:val="TextBody"/>
        <w:numPr>
          <w:ilvl w:val="1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>You can filter the table using any column by entering text in the blue area directly below each column heading.</w:t>
      </w:r>
    </w:p>
    <w:p>
      <w:pPr>
        <w:pStyle w:val="TextBody"/>
        <w:numPr>
          <w:ilvl w:val="1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If your institution has many statements of work, then the table may be broken up into multiple pages. You can see more pages by clicking the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 xml:space="preserve">‘&gt;’ / ‘&lt;’  buttons </w:t>
      </w:r>
      <w:r>
        <w:rPr>
          <w:rFonts w:ascii="Arial" w:hAnsi="Arial"/>
          <w:color w:val="24292E"/>
          <w:sz w:val="20"/>
          <w:szCs w:val="20"/>
        </w:rPr>
        <w:t xml:space="preserve">below the table. To see everything at once, click the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Show Pages</w:t>
      </w:r>
      <w:r>
        <w:rPr>
          <w:rFonts w:ascii="Arial" w:hAnsi="Arial"/>
          <w:i/>
          <w:iCs/>
          <w:color w:val="24292E"/>
          <w:sz w:val="20"/>
          <w:szCs w:val="20"/>
        </w:rPr>
        <w:t xml:space="preserve">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button</w:t>
      </w:r>
      <w:r>
        <w:rPr>
          <w:rFonts w:ascii="Arial" w:hAnsi="Arial"/>
          <w:color w:val="24292E"/>
          <w:sz w:val="20"/>
          <w:szCs w:val="20"/>
        </w:rPr>
        <w:t xml:space="preserve"> above the table.</w:t>
      </w:r>
    </w:p>
    <w:p>
      <w:pPr>
        <w:pStyle w:val="TextBody"/>
        <w:numPr>
          <w:ilvl w:val="1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To view calculated totals, click the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Totals button</w:t>
      </w:r>
      <w:r>
        <w:rPr>
          <w:rFonts w:ascii="Arial" w:hAnsi="Arial"/>
          <w:color w:val="24292E"/>
          <w:sz w:val="20"/>
          <w:szCs w:val="20"/>
        </w:rPr>
        <w:t xml:space="preserve"> below the table.</w:t>
      </w:r>
    </w:p>
    <w:p>
      <w:pPr>
        <w:pStyle w:val="TextBody"/>
        <w:numPr>
          <w:ilvl w:val="0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At the bottom of the page is your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institution’s notes and descriptions</w:t>
      </w:r>
      <w:r>
        <w:rPr>
          <w:rFonts w:ascii="Arial" w:hAnsi="Arial"/>
          <w:color w:val="24292E"/>
          <w:sz w:val="20"/>
          <w:szCs w:val="20"/>
        </w:rPr>
        <w:t>.</w:t>
      </w:r>
    </w:p>
    <w:p>
      <w:pPr>
        <w:pStyle w:val="TextBody"/>
        <w:numPr>
          <w:ilvl w:val="1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>This is a place to put any text you want.</w:t>
      </w:r>
    </w:p>
    <w:p>
      <w:pPr>
        <w:pStyle w:val="TextBody"/>
        <w:spacing w:before="0" w:after="0"/>
        <w:rPr>
          <w:rFonts w:ascii="Arial" w:hAnsi="Arial"/>
          <w:i/>
          <w:i/>
          <w:iCs/>
          <w:color w:val="24292E"/>
          <w:sz w:val="20"/>
          <w:szCs w:val="20"/>
        </w:rPr>
      </w:pPr>
      <w:r>
        <w:rPr>
          <w:rFonts w:ascii="Arial" w:hAnsi="Arial"/>
          <w:i/>
          <w:iCs/>
          <w:color w:val="24292E"/>
          <w:sz w:val="20"/>
          <w:szCs w:val="20"/>
        </w:rPr>
      </w:r>
    </w:p>
    <w:p>
      <w:pPr>
        <w:pStyle w:val="Heading2"/>
        <w:rPr>
          <w:rFonts w:ascii="Arial" w:hAnsi="Arial"/>
          <w:color w:val="24292E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>Entering Data</w:t>
      </w:r>
    </w:p>
    <w:p>
      <w:pPr>
        <w:pStyle w:val="TextBody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To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enter institution headcounts</w:t>
      </w:r>
      <w:r>
        <w:rPr>
          <w:rFonts w:ascii="Arial" w:hAnsi="Arial"/>
          <w:color w:val="24292E"/>
          <w:sz w:val="20"/>
          <w:szCs w:val="20"/>
        </w:rPr>
        <w:t>, click then type a number, you can also use the ticker buttons in each box.</w:t>
      </w:r>
    </w:p>
    <w:p>
      <w:pPr>
        <w:pStyle w:val="TextBody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To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edit a value in the table:</w:t>
      </w:r>
    </w:p>
    <w:p>
      <w:pPr>
        <w:pStyle w:val="TextBody"/>
        <w:numPr>
          <w:ilvl w:val="1"/>
          <w:numId w:val="4"/>
        </w:numPr>
        <w:rPr>
          <w:rFonts w:ascii="Arial" w:hAnsi="Arial"/>
          <w:color w:val="24292E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>Most cells are drop-downs, simply click and select your intended value</w:t>
      </w:r>
    </w:p>
    <w:p>
      <w:pPr>
        <w:pStyle w:val="TextBody"/>
        <w:numPr>
          <w:ilvl w:val="1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>For non-drop-down cells, double-click to select the value</w:t>
      </w:r>
    </w:p>
    <w:p>
      <w:pPr>
        <w:pStyle w:val="TextBody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To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add a new row (statement of work):</w:t>
      </w:r>
    </w:p>
    <w:p>
      <w:pPr>
        <w:pStyle w:val="TextBody"/>
        <w:numPr>
          <w:ilvl w:val="1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Click the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+ Add New Statement of Work</w:t>
      </w:r>
    </w:p>
    <w:p>
      <w:pPr>
        <w:pStyle w:val="TextBody"/>
        <w:numPr>
          <w:ilvl w:val="1"/>
          <w:numId w:val="4"/>
        </w:numPr>
        <w:rPr>
          <w:rFonts w:ascii="Arial" w:hAnsi="Arial"/>
          <w:color w:val="24292E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>Now, a new row has been added to the top of the table.</w:t>
      </w:r>
    </w:p>
    <w:p>
      <w:pPr>
        <w:pStyle w:val="TextBody"/>
        <w:numPr>
          <w:ilvl w:val="1"/>
          <w:numId w:val="4"/>
        </w:numPr>
        <w:rPr>
          <w:rFonts w:ascii="Arial" w:hAnsi="Arial"/>
          <w:i/>
          <w:i/>
          <w:iCs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Next,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fill out the rest of the row</w:t>
      </w:r>
    </w:p>
    <w:p>
      <w:pPr>
        <w:pStyle w:val="TextBody"/>
        <w:spacing w:before="0" w:after="0"/>
        <w:rPr>
          <w:rFonts w:ascii="Arial" w:hAnsi="Arial"/>
          <w:i/>
          <w:i/>
          <w:iCs/>
          <w:color w:val="24292E"/>
          <w:sz w:val="20"/>
          <w:szCs w:val="20"/>
        </w:rPr>
      </w:pPr>
      <w:r>
        <w:rPr>
          <w:rFonts w:ascii="Arial" w:hAnsi="Arial"/>
          <w:i/>
          <w:iCs/>
          <w:color w:val="24292E"/>
          <w:sz w:val="20"/>
          <w:szCs w:val="20"/>
        </w:rPr>
      </w:r>
    </w:p>
    <w:p>
      <w:pPr>
        <w:pStyle w:val="Heading2"/>
        <w:rPr>
          <w:rFonts w:ascii="Arial" w:hAnsi="Arial"/>
          <w:color w:val="24292E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>Other/Advanced Actions</w:t>
      </w:r>
    </w:p>
    <w:p>
      <w:pPr>
        <w:pStyle w:val="TextBody"/>
        <w:numPr>
          <w:ilvl w:val="0"/>
          <w:numId w:val="5"/>
        </w:numPr>
        <w:rPr/>
      </w:pPr>
      <w:r>
        <w:rPr>
          <w:rFonts w:ascii="Arial" w:hAnsi="Arial"/>
          <w:color w:val="24292E"/>
          <w:sz w:val="20"/>
          <w:szCs w:val="20"/>
        </w:rPr>
        <w:t xml:space="preserve">To view a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 xml:space="preserve">previously submitted statements of work </w:t>
      </w:r>
      <w:r>
        <w:rPr>
          <w:rFonts w:ascii="Arial" w:hAnsi="Arial"/>
          <w:color w:val="24292E"/>
          <w:sz w:val="20"/>
          <w:szCs w:val="20"/>
        </w:rPr>
        <w:t xml:space="preserve">aka a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Snapshot</w:t>
      </w:r>
      <w:r>
        <w:rPr>
          <w:rFonts w:ascii="Arial" w:hAnsi="Arial"/>
          <w:color w:val="24292E"/>
          <w:sz w:val="20"/>
          <w:szCs w:val="20"/>
        </w:rPr>
        <w:t xml:space="preserve">, click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View a Snapshot</w:t>
      </w:r>
      <w:r>
        <w:rPr>
          <w:rFonts w:ascii="Arial" w:hAnsi="Arial"/>
          <w:color w:val="24292E"/>
          <w:sz w:val="20"/>
          <w:szCs w:val="20"/>
        </w:rPr>
        <w:t xml:space="preserve"> in the upper left-hand corner.</w:t>
      </w:r>
    </w:p>
    <w:p>
      <w:pPr>
        <w:pStyle w:val="TextBody"/>
        <w:numPr>
          <w:ilvl w:val="1"/>
          <w:numId w:val="5"/>
        </w:numPr>
        <w:rPr>
          <w:rFonts w:ascii="Arial" w:hAnsi="Arial"/>
          <w:color w:val="24292E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This will display a drop-down menu to select a version from. NOTE: only </w:t>
      </w:r>
      <w:r>
        <w:rPr>
          <w:rFonts w:ascii="Arial" w:hAnsi="Arial"/>
          <w:i/>
          <w:iCs/>
          <w:color w:val="24292E"/>
          <w:sz w:val="20"/>
          <w:szCs w:val="20"/>
        </w:rPr>
        <w:t xml:space="preserve">statements of work </w:t>
      </w:r>
      <w:r>
        <w:rPr>
          <w:rFonts w:ascii="Arial" w:hAnsi="Arial"/>
          <w:color w:val="24292E"/>
          <w:sz w:val="20"/>
          <w:szCs w:val="20"/>
        </w:rPr>
        <w:t>entered via the MOU Dashboard are visible here</w:t>
      </w:r>
    </w:p>
    <w:p>
      <w:pPr>
        <w:pStyle w:val="TextBody"/>
        <w:numPr>
          <w:ilvl w:val="1"/>
          <w:numId w:val="5"/>
        </w:numPr>
        <w:rPr>
          <w:rFonts w:ascii="Arial" w:hAnsi="Arial"/>
          <w:i/>
          <w:i/>
          <w:iCs/>
          <w:color w:val="24292E"/>
          <w:sz w:val="20"/>
          <w:szCs w:val="20"/>
        </w:rPr>
      </w:pPr>
      <w:r>
        <w:rPr>
          <w:rFonts w:ascii="Arial" w:hAnsi="Arial"/>
          <w:i/>
          <w:iCs/>
          <w:color w:val="24292E"/>
          <w:sz w:val="20"/>
          <w:szCs w:val="20"/>
        </w:rPr>
        <w:t>NOTE: you can’t edit/enter data in a snapshot</w:t>
      </w:r>
    </w:p>
    <w:p>
      <w:pPr>
        <w:pStyle w:val="TextBody"/>
        <w:numPr>
          <w:ilvl w:val="1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When you’re viewing a snapshot, you can return to today’s statements of work by clicking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View Today’s SOW</w:t>
      </w:r>
    </w:p>
    <w:p>
      <w:pPr>
        <w:pStyle w:val="TextBody"/>
        <w:numPr>
          <w:ilvl w:val="0"/>
          <w:numId w:val="6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The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 xml:space="preserve">Extra Info </w:t>
      </w:r>
      <w:r>
        <w:rPr>
          <w:rFonts w:ascii="Arial" w:hAnsi="Arial"/>
          <w:color w:val="24292E"/>
          <w:sz w:val="20"/>
          <w:szCs w:val="20"/>
        </w:rPr>
        <w:t>button shows data that you generally won’t need to care about and can’t edit directly. Some of these columns are displayed automatically when you click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 xml:space="preserve"> Totals</w:t>
      </w:r>
      <w:r>
        <w:rPr>
          <w:rFonts w:ascii="Arial" w:hAnsi="Arial"/>
          <w:color w:val="24292E"/>
          <w:sz w:val="20"/>
          <w:szCs w:val="20"/>
        </w:rPr>
        <w:t>.</w:t>
      </w:r>
    </w:p>
    <w:p>
      <w:pPr>
        <w:pStyle w:val="TextBody"/>
        <w:numPr>
          <w:ilvl w:val="0"/>
          <w:numId w:val="6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>You can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 xml:space="preserve"> export the table to an Microsoft Excel (.xlsx) file</w:t>
      </w:r>
      <w:r>
        <w:rPr>
          <w:rFonts w:ascii="Arial" w:hAnsi="Arial"/>
          <w:color w:val="24292E"/>
          <w:sz w:val="20"/>
          <w:szCs w:val="20"/>
        </w:rPr>
        <w:t xml:space="preserve"> by clicking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 xml:space="preserve"> Export</w:t>
      </w:r>
      <w:r>
        <w:rPr>
          <w:rFonts w:ascii="Arial" w:hAnsi="Arial"/>
          <w:color w:val="24292E"/>
          <w:sz w:val="20"/>
          <w:szCs w:val="20"/>
        </w:rPr>
        <w:t>. This will export what you currently see, i.e. this reflects if you’re filtering by any criteria</w:t>
      </w:r>
    </w:p>
    <w:p>
      <w:pPr>
        <w:pStyle w:val="TextBody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Heading2"/>
        <w:rPr>
          <w:rFonts w:ascii="Arial" w:hAnsi="Arial"/>
          <w:color w:val="24292E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>Labor Category Drop-Down Dictionary – these categories are listed at the top of the web page.</w:t>
      </w:r>
    </w:p>
    <w:p>
      <w:pPr>
        <w:pStyle w:val="TextBody"/>
        <w:spacing w:lineRule="auto" w:line="240" w:before="0" w:after="0"/>
        <w:rPr>
          <w:rFonts w:ascii="Arial" w:hAnsi="Arial"/>
          <w:b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TextBody"/>
        <w:numPr>
          <w:ilvl w:val="0"/>
          <w:numId w:val="7"/>
        </w:numPr>
        <w:spacing w:lineRule="auto" w:line="240" w:before="0" w:after="0"/>
        <w:rPr>
          <w:rFonts w:ascii="Arial" w:hAnsi="Arial"/>
          <w:i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 xml:space="preserve">Science: </w:t>
      </w:r>
    </w:p>
    <w:p>
      <w:pPr>
        <w:pStyle w:val="TextBody"/>
        <w:numPr>
          <w:ilvl w:val="1"/>
          <w:numId w:val="5"/>
        </w:numPr>
        <w:spacing w:lineRule="auto" w:line="240" w:before="0" w:after="0"/>
        <w:rPr>
          <w:rFonts w:ascii="Arial" w:hAnsi="Arial"/>
          <w:i/>
          <w:i/>
          <w:iCs/>
          <w:color w:val="24292E"/>
          <w:sz w:val="20"/>
          <w:szCs w:val="20"/>
        </w:rPr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KE – Key Personnel (Faculty members) </w:t>
      </w:r>
    </w:p>
    <w:p>
      <w:pPr>
        <w:pStyle w:val="TextBody"/>
        <w:numPr>
          <w:ilvl w:val="1"/>
          <w:numId w:val="5"/>
        </w:numPr>
        <w:spacing w:lineRule="auto" w:line="240" w:before="0" w:after="0"/>
        <w:rPr>
          <w:rFonts w:ascii="Arial" w:hAnsi="Arial"/>
          <w:i/>
          <w:i/>
          <w:iCs/>
          <w:color w:val="24292E"/>
          <w:sz w:val="20"/>
          <w:szCs w:val="20"/>
        </w:rPr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SC – Scientist </w:t>
      </w:r>
    </w:p>
    <w:p>
      <w:pPr>
        <w:pStyle w:val="TextBody"/>
        <w:numPr>
          <w:ilvl w:val="1"/>
          <w:numId w:val="5"/>
        </w:numPr>
        <w:spacing w:lineRule="auto" w:line="240" w:before="0" w:after="0"/>
        <w:rPr>
          <w:rFonts w:ascii="Arial" w:hAnsi="Arial"/>
          <w:i/>
          <w:i/>
          <w:iCs/>
          <w:color w:val="24292E"/>
          <w:sz w:val="20"/>
          <w:szCs w:val="20"/>
        </w:rPr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PO – Postdoctoral Associates </w:t>
      </w:r>
    </w:p>
    <w:p>
      <w:pPr>
        <w:pStyle w:val="TextBody"/>
        <w:numPr>
          <w:ilvl w:val="1"/>
          <w:numId w:val="5"/>
        </w:numPr>
        <w:spacing w:lineRule="auto" w:line="240" w:before="0" w:after="0"/>
        <w:rPr>
          <w:rFonts w:ascii="Arial" w:hAnsi="Arial"/>
          <w:i/>
          <w:i/>
          <w:iCs/>
          <w:color w:val="24292E"/>
          <w:sz w:val="20"/>
          <w:szCs w:val="20"/>
        </w:rPr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GR – Graduate Students (PhD Students) </w:t>
      </w:r>
    </w:p>
    <w:p>
      <w:pPr>
        <w:pStyle w:val="TextBody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Body"/>
        <w:numPr>
          <w:ilvl w:val="0"/>
          <w:numId w:val="7"/>
        </w:numPr>
        <w:spacing w:lineRule="auto" w:line="240" w:before="0" w:after="0"/>
        <w:rPr>
          <w:rFonts w:ascii="Arial" w:hAnsi="Arial"/>
          <w:i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>Technical:</w:t>
      </w:r>
    </w:p>
    <w:p>
      <w:pPr>
        <w:pStyle w:val="TextBody"/>
        <w:numPr>
          <w:ilvl w:val="1"/>
          <w:numId w:val="5"/>
        </w:numPr>
        <w:spacing w:lineRule="auto" w:line="240" w:before="0" w:after="0"/>
        <w:rPr>
          <w:rFonts w:ascii="Arial" w:hAnsi="Arial"/>
          <w:i/>
          <w:i/>
          <w:iCs/>
          <w:color w:val="24292E"/>
          <w:sz w:val="20"/>
          <w:szCs w:val="20"/>
        </w:rPr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AD – Administration </w:t>
      </w:r>
    </w:p>
    <w:p>
      <w:pPr>
        <w:pStyle w:val="TextBody"/>
        <w:numPr>
          <w:ilvl w:val="1"/>
          <w:numId w:val="5"/>
        </w:numPr>
        <w:spacing w:lineRule="auto" w:line="240" w:before="0" w:after="0"/>
        <w:rPr>
          <w:rFonts w:ascii="Arial" w:hAnsi="Arial"/>
          <w:i/>
          <w:i/>
          <w:iCs/>
          <w:color w:val="24292E"/>
          <w:sz w:val="20"/>
          <w:szCs w:val="20"/>
        </w:rPr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CS – Computer Science </w:t>
      </w:r>
    </w:p>
    <w:p>
      <w:pPr>
        <w:pStyle w:val="TextBody"/>
        <w:numPr>
          <w:ilvl w:val="1"/>
          <w:numId w:val="5"/>
        </w:numPr>
        <w:spacing w:lineRule="auto" w:line="240" w:before="0" w:after="0"/>
        <w:rPr>
          <w:rFonts w:ascii="Arial" w:hAnsi="Arial"/>
          <w:i/>
          <w:i/>
          <w:iCs/>
          <w:color w:val="24292E"/>
          <w:sz w:val="20"/>
          <w:szCs w:val="20"/>
        </w:rPr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DS - Data Science </w:t>
      </w:r>
    </w:p>
    <w:p>
      <w:pPr>
        <w:pStyle w:val="TextBody"/>
        <w:numPr>
          <w:ilvl w:val="1"/>
          <w:numId w:val="5"/>
        </w:numPr>
        <w:spacing w:lineRule="auto" w:line="240" w:before="0" w:after="0"/>
        <w:rPr>
          <w:rFonts w:ascii="Arial" w:hAnsi="Arial"/>
          <w:i/>
          <w:i/>
          <w:iCs/>
          <w:color w:val="24292E"/>
          <w:sz w:val="20"/>
          <w:szCs w:val="20"/>
        </w:rPr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EN – Engineering </w:t>
      </w:r>
    </w:p>
    <w:p>
      <w:pPr>
        <w:pStyle w:val="TextBody"/>
        <w:numPr>
          <w:ilvl w:val="1"/>
          <w:numId w:val="5"/>
        </w:numPr>
        <w:spacing w:lineRule="auto" w:line="240" w:before="0" w:after="0"/>
        <w:rPr>
          <w:rFonts w:ascii="Arial" w:hAnsi="Arial"/>
          <w:i/>
          <w:i/>
          <w:iCs/>
          <w:color w:val="24292E"/>
          <w:sz w:val="20"/>
          <w:szCs w:val="20"/>
        </w:rPr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IT – Information Technology </w:t>
      </w:r>
    </w:p>
    <w:p>
      <w:pPr>
        <w:pStyle w:val="TextBody"/>
        <w:numPr>
          <w:ilvl w:val="1"/>
          <w:numId w:val="5"/>
        </w:numPr>
        <w:spacing w:lineRule="auto" w:line="240" w:before="0" w:after="0"/>
        <w:rPr>
          <w:rFonts w:ascii="Arial" w:hAnsi="Arial"/>
          <w:i/>
          <w:i/>
          <w:iCs/>
          <w:color w:val="24292E"/>
          <w:sz w:val="20"/>
          <w:szCs w:val="20"/>
        </w:rPr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MA – Manager  </w:t>
      </w:r>
    </w:p>
    <w:p>
      <w:pPr>
        <w:pStyle w:val="TextBody"/>
        <w:numPr>
          <w:ilvl w:val="1"/>
          <w:numId w:val="5"/>
        </w:numPr>
        <w:spacing w:lineRule="auto" w:line="240" w:before="0" w:after="0"/>
        <w:rPr>
          <w:rFonts w:ascii="Arial" w:hAnsi="Arial"/>
          <w:i/>
          <w:i/>
          <w:iCs/>
          <w:color w:val="24292E"/>
          <w:sz w:val="20"/>
          <w:szCs w:val="20"/>
        </w:rPr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WO – Winterover </w:t>
      </w:r>
    </w:p>
    <w:sectPr>
      <w:headerReference w:type="default" r:id="rId3"/>
      <w:footerReference w:type="default" r:id="rId4"/>
      <w:type w:val="nextPage"/>
      <w:pgSz w:w="12240" w:h="15840"/>
      <w:pgMar w:left="1008" w:right="1008" w:gutter="0" w:header="576" w:top="1152" w:footer="0" w:bottom="1152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438094300"/>
    </w:sdtPr>
    <w:sdtContent>
      <w:p>
        <w:pPr>
          <w:pStyle w:val="Footer"/>
          <w:jc w:val="center"/>
          <w:rPr>
            <w:rFonts w:ascii="Arial" w:hAnsi="Arial" w:cs="Arial"/>
            <w:sz w:val="16"/>
            <w:szCs w:val="16"/>
          </w:rPr>
        </w:pPr>
        <w:r>
          <w:rPr>
            <w:rFonts w:cs="Arial" w:ascii="Arial" w:hAnsi="Arial"/>
            <w:sz w:val="16"/>
            <w:szCs w:val="16"/>
          </w:rPr>
          <w:t xml:space="preserve">Page </w:t>
        </w:r>
        <w:r>
          <w:rPr>
            <w:rFonts w:cs="Arial" w:ascii="Arial" w:hAnsi="Arial"/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  <w:rFonts w:cs="Arial" w:ascii="Arial" w:hAnsi="Arial"/>
          </w:rPr>
          <w:instrText xml:space="preserve"> PAGE </w:instrText>
        </w:r>
        <w:r>
          <w:rPr>
            <w:sz w:val="16"/>
            <w:b/>
            <w:szCs w:val="16"/>
            <w:bCs/>
            <w:rFonts w:cs="Arial" w:ascii="Arial" w:hAnsi="Arial"/>
          </w:rPr>
          <w:fldChar w:fldCharType="separate"/>
        </w:r>
        <w:r>
          <w:rPr>
            <w:sz w:val="16"/>
            <w:b/>
            <w:szCs w:val="16"/>
            <w:bCs/>
            <w:rFonts w:cs="Arial" w:ascii="Arial" w:hAnsi="Arial"/>
          </w:rPr>
          <w:t>2</w:t>
        </w:r>
        <w:r>
          <w:rPr>
            <w:sz w:val="16"/>
            <w:b/>
            <w:szCs w:val="16"/>
            <w:bCs/>
            <w:rFonts w:cs="Arial" w:ascii="Arial" w:hAnsi="Arial"/>
          </w:rPr>
          <w:fldChar w:fldCharType="end"/>
        </w:r>
        <w:r>
          <w:rPr>
            <w:rFonts w:cs="Arial" w:ascii="Arial" w:hAnsi="Arial"/>
            <w:sz w:val="16"/>
            <w:szCs w:val="16"/>
          </w:rPr>
          <w:t xml:space="preserve"> of </w:t>
        </w:r>
        <w:r>
          <w:rPr>
            <w:rFonts w:cs="Arial" w:ascii="Arial" w:hAnsi="Arial"/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  <w:rFonts w:cs="Arial" w:ascii="Arial" w:hAnsi="Arial"/>
          </w:rPr>
          <w:instrText xml:space="preserve"> NUMPAGES </w:instrText>
        </w:r>
        <w:r>
          <w:rPr>
            <w:sz w:val="16"/>
            <w:b/>
            <w:szCs w:val="16"/>
            <w:bCs/>
            <w:rFonts w:cs="Arial" w:ascii="Arial" w:hAnsi="Arial"/>
          </w:rPr>
          <w:fldChar w:fldCharType="separate"/>
        </w:r>
        <w:r>
          <w:rPr>
            <w:sz w:val="16"/>
            <w:b/>
            <w:szCs w:val="16"/>
            <w:bCs/>
            <w:rFonts w:cs="Arial" w:ascii="Arial" w:hAnsi="Arial"/>
          </w:rPr>
          <w:t>2</w:t>
        </w:r>
        <w:r>
          <w:rPr>
            <w:sz w:val="16"/>
            <w:b/>
            <w:szCs w:val="16"/>
            <w:bCs/>
            <w:rFonts w:cs="Arial" w:ascii="Arial" w:hAnsi="Arial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Last updated: September 1, 2023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 w:customStyle="1">
    <w:name w:val="Numbering Symbols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43caa"/>
    <w:rPr>
      <w:rFonts w:cs="Mangal"/>
      <w:szCs w:val="21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421e2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e421e2"/>
    <w:rPr>
      <w:rFonts w:cs="Mangal"/>
      <w:sz w:val="20"/>
      <w:szCs w:val="18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e421e2"/>
    <w:rPr>
      <w:rFonts w:cs="Mangal"/>
      <w:b/>
      <w:bCs/>
      <w:sz w:val="20"/>
      <w:szCs w:val="18"/>
    </w:rPr>
  </w:style>
  <w:style w:type="character" w:styleId="LineNumbering" w:customStyle="1">
    <w:name w:val="Line Numbering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Normal"/>
    <w:link w:val="FooterChar"/>
    <w:uiPriority w:val="99"/>
    <w:unhideWhenUsed/>
    <w:rsid w:val="00143caa"/>
    <w:pPr>
      <w:tabs>
        <w:tab w:val="clear" w:pos="709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Revision">
    <w:name w:val="Revision"/>
    <w:uiPriority w:val="99"/>
    <w:semiHidden/>
    <w:qFormat/>
    <w:rsid w:val="00137de4"/>
    <w:pPr>
      <w:widowControl/>
      <w:suppressAutoHyphens w:val="false"/>
      <w:bidi w:val="0"/>
      <w:spacing w:before="0" w:after="0"/>
      <w:jc w:val="left"/>
    </w:pPr>
    <w:rPr>
      <w:rFonts w:cs="Mangal" w:ascii="Liberation Serif" w:hAnsi="Liberation Serif" w:eastAsia="Noto Serif CJK SC"/>
      <w:color w:val="auto"/>
      <w:kern w:val="2"/>
      <w:sz w:val="24"/>
      <w:szCs w:val="21"/>
      <w:lang w:val="en-US" w:eastAsia="zh-CN" w:bidi="hi-IN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e421e2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e421e2"/>
    <w:pPr/>
    <w:rPr>
      <w:b/>
      <w:b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u.icecube.aq/mo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2</Pages>
  <Words>591</Words>
  <Characters>2736</Characters>
  <CharactersWithSpaces>3268</CharactersWithSpaces>
  <Paragraphs>52</Paragraphs>
  <Company>University of Wisconsin-Madison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2023-09-01T18:21:00Z</dcterms:created>
  <dc:creator>LAURA MERCIER</dc:creator>
  <dc:description/>
  <dc:language>en-US</dc:language>
  <cp:lastModifiedBy>LAURA MERCIER</cp:lastModifiedBy>
  <dcterms:modified xsi:type="dcterms:W3CDTF">2023-09-01T18:21:00Z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