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44F624">
      <w:pPr>
        <w:rPr>
          <w:rFonts w:hint="eastAsia" w:ascii="宋体" w:hAnsi="宋体" w:cs="宋体"/>
          <w:kern w:val="0"/>
          <w:sz w:val="44"/>
          <w:szCs w:val="44"/>
          <w:lang w:val="zh-CN"/>
        </w:rPr>
      </w:pPr>
    </w:p>
    <w:p w14:paraId="6AA389BC">
      <w:pPr>
        <w:jc w:val="center"/>
        <w:rPr>
          <w:rFonts w:hint="eastAsia" w:ascii="宋体" w:hAnsi="宋体" w:cs="宋体"/>
          <w:kern w:val="0"/>
          <w:sz w:val="44"/>
          <w:szCs w:val="44"/>
          <w:u w:val="single"/>
          <w:lang w:val="zh-CN"/>
        </w:rPr>
      </w:pPr>
    </w:p>
    <w:p w14:paraId="1EE7D627">
      <w:pPr>
        <w:jc w:val="center"/>
        <w:rPr>
          <w:rFonts w:hint="eastAsia" w:ascii="宋体" w:hAnsi="宋体"/>
          <w:sz w:val="44"/>
          <w:szCs w:val="44"/>
        </w:rPr>
      </w:pPr>
    </w:p>
    <w:p w14:paraId="3F0F5C60">
      <w:pPr>
        <w:jc w:val="center"/>
        <w:rPr>
          <w:rFonts w:hint="eastAsia" w:ascii="宋体" w:hAnsi="宋体"/>
          <w:sz w:val="44"/>
          <w:szCs w:val="44"/>
        </w:rPr>
      </w:pPr>
    </w:p>
    <w:p w14:paraId="4B57B048">
      <w:pPr>
        <w:jc w:val="center"/>
        <w:rPr>
          <w:rFonts w:hint="eastAsia" w:ascii="宋体" w:hAnsi="宋体"/>
          <w:sz w:val="44"/>
          <w:szCs w:val="44"/>
        </w:rPr>
      </w:pPr>
    </w:p>
    <w:p w14:paraId="7E129916">
      <w:pPr>
        <w:jc w:val="center"/>
        <w:rPr>
          <w:rFonts w:hint="eastAsia" w:ascii="宋体" w:hAnsi="宋体"/>
          <w:sz w:val="44"/>
          <w:szCs w:val="44"/>
        </w:rPr>
      </w:pPr>
    </w:p>
    <w:p w14:paraId="2A87E684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bookmarkStart w:id="0" w:name="_Toc536644046"/>
      <w:bookmarkStart w:id="1" w:name="_Toc536644027"/>
      <w:bookmarkStart w:id="2" w:name="_Toc285120313"/>
      <w:r>
        <w:rPr>
          <w:rFonts w:hint="eastAsia" w:ascii="宋体" w:hAnsi="宋体" w:cs="Calibri"/>
          <w:sz w:val="44"/>
          <w:szCs w:val="44"/>
          <w:lang w:val="en-US" w:eastAsia="zh-CN"/>
        </w:rPr>
        <w:t>流量计</w:t>
      </w:r>
      <w:r>
        <w:rPr>
          <w:rFonts w:hint="eastAsia" w:ascii="宋体" w:hAnsi="宋体" w:cs="Calibri"/>
          <w:sz w:val="44"/>
          <w:szCs w:val="44"/>
        </w:rPr>
        <w:t>控制系统项目</w:t>
      </w:r>
      <w:bookmarkEnd w:id="0"/>
      <w:bookmarkEnd w:id="1"/>
    </w:p>
    <w:bookmarkEnd w:id="2"/>
    <w:p w14:paraId="3AA323CE">
      <w:pPr>
        <w:pStyle w:val="54"/>
        <w:outlineLvl w:val="9"/>
        <w:rPr>
          <w:rFonts w:hint="eastAsia" w:ascii="宋体" w:hAnsi="宋体" w:cs="Calibri"/>
          <w:sz w:val="44"/>
          <w:szCs w:val="44"/>
        </w:rPr>
      </w:pPr>
      <w:r>
        <w:rPr>
          <w:rFonts w:hint="eastAsia" w:ascii="宋体" w:hAnsi="宋体" w:cs="Calibri"/>
          <w:sz w:val="44"/>
          <w:szCs w:val="44"/>
        </w:rPr>
        <w:t>软 件 设 计</w:t>
      </w:r>
    </w:p>
    <w:p w14:paraId="1FA1651D">
      <w:pPr>
        <w:jc w:val="center"/>
        <w:rPr>
          <w:rFonts w:hint="eastAsia" w:ascii="宋体" w:hAnsi="宋体"/>
          <w:sz w:val="44"/>
          <w:szCs w:val="44"/>
        </w:rPr>
      </w:pPr>
    </w:p>
    <w:p w14:paraId="0DB0C3C2">
      <w:pPr>
        <w:jc w:val="center"/>
        <w:rPr>
          <w:rFonts w:hint="eastAsia" w:ascii="宋体" w:hAnsi="宋体"/>
          <w:sz w:val="44"/>
          <w:szCs w:val="44"/>
        </w:rPr>
      </w:pPr>
    </w:p>
    <w:p w14:paraId="5152A21F">
      <w:pPr>
        <w:jc w:val="center"/>
        <w:rPr>
          <w:rFonts w:hint="eastAsia" w:ascii="宋体" w:hAnsi="宋体"/>
          <w:sz w:val="44"/>
          <w:szCs w:val="44"/>
        </w:rPr>
      </w:pPr>
    </w:p>
    <w:p w14:paraId="6A226563">
      <w:pPr>
        <w:jc w:val="center"/>
        <w:rPr>
          <w:rFonts w:hint="eastAsia" w:ascii="宋体" w:hAnsi="宋体"/>
          <w:sz w:val="44"/>
          <w:szCs w:val="44"/>
        </w:rPr>
      </w:pPr>
    </w:p>
    <w:p w14:paraId="449876E8">
      <w:pPr>
        <w:jc w:val="center"/>
        <w:rPr>
          <w:rFonts w:hint="eastAsia" w:ascii="宋体" w:hAnsi="宋体"/>
          <w:sz w:val="44"/>
          <w:szCs w:val="44"/>
        </w:rPr>
      </w:pPr>
    </w:p>
    <w:p w14:paraId="28168A5C">
      <w:pPr>
        <w:jc w:val="center"/>
        <w:rPr>
          <w:rFonts w:hint="eastAsia" w:ascii="宋体" w:hAnsi="宋体"/>
          <w:sz w:val="44"/>
          <w:szCs w:val="44"/>
        </w:rPr>
      </w:pPr>
    </w:p>
    <w:p w14:paraId="03C6AA5E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</w:rPr>
      </w:pPr>
      <w:r>
        <w:rPr>
          <w:rFonts w:hint="eastAsia" w:ascii="宋体" w:hAnsi="宋体" w:cs="Calibri"/>
          <w:kern w:val="0"/>
          <w:szCs w:val="24"/>
        </w:rPr>
        <w:t>名称：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流量计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控制系统    </w:t>
      </w:r>
      <w:r>
        <w:rPr>
          <w:rFonts w:ascii="宋体" w:hAnsi="宋体" w:cs="Calibri"/>
          <w:kern w:val="0"/>
          <w:szCs w:val="24"/>
          <w:u w:val="single"/>
        </w:rPr>
        <w:t xml:space="preserve">   </w:t>
      </w:r>
    </w:p>
    <w:p w14:paraId="77827B70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时间：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</w:t>
      </w:r>
      <w:r>
        <w:rPr>
          <w:rFonts w:ascii="宋体" w:hAnsi="宋体" w:cs="Calibri"/>
          <w:kern w:val="0"/>
          <w:szCs w:val="24"/>
          <w:u w:val="single"/>
        </w:rPr>
        <w:tab/>
      </w:r>
      <w:r>
        <w:rPr>
          <w:rFonts w:hint="eastAsia" w:ascii="宋体" w:hAnsi="宋体" w:cs="Calibri"/>
          <w:kern w:val="0"/>
          <w:szCs w:val="24"/>
          <w:u w:val="single"/>
        </w:rPr>
        <w:t>2026.0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9</w:t>
      </w:r>
      <w:r>
        <w:rPr>
          <w:rFonts w:hint="eastAsia" w:ascii="宋体" w:hAnsi="宋体" w:cs="Calibri"/>
          <w:kern w:val="0"/>
          <w:szCs w:val="24"/>
          <w:u w:val="single"/>
        </w:rPr>
        <w:t>.1</w:t>
      </w:r>
      <w:r>
        <w:rPr>
          <w:rFonts w:hint="eastAsia" w:ascii="宋体" w:hAnsi="宋体" w:cs="Calibri"/>
          <w:kern w:val="0"/>
          <w:szCs w:val="24"/>
          <w:u w:val="single"/>
          <w:lang w:val="en-US" w:eastAsia="zh-CN"/>
        </w:rPr>
        <w:t>0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</w:t>
      </w:r>
      <w:r>
        <w:rPr>
          <w:rFonts w:ascii="宋体" w:hAnsi="宋体" w:cs="Calibri"/>
          <w:kern w:val="0"/>
          <w:szCs w:val="24"/>
          <w:u w:val="single"/>
        </w:rPr>
        <w:t xml:space="preserve"> </w:t>
      </w:r>
    </w:p>
    <w:p w14:paraId="63C666BB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编写人：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严心志            </w:t>
      </w:r>
    </w:p>
    <w:p w14:paraId="4D5FF544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审核人：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</w:t>
      </w:r>
      <w:r>
        <w:rPr>
          <w:rFonts w:ascii="宋体" w:hAnsi="宋体" w:cs="Calibri"/>
          <w:kern w:val="0"/>
          <w:szCs w:val="24"/>
          <w:u w:val="single"/>
        </w:rPr>
        <w:t xml:space="preserve">      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</w:t>
      </w:r>
      <w:r>
        <w:rPr>
          <w:rFonts w:ascii="宋体" w:hAnsi="宋体" w:cs="Calibri"/>
          <w:kern w:val="0"/>
          <w:szCs w:val="24"/>
          <w:u w:val="single"/>
        </w:rPr>
        <w:t xml:space="preserve">            </w:t>
      </w:r>
    </w:p>
    <w:p w14:paraId="755109AA">
      <w:pPr>
        <w:spacing w:after="200"/>
        <w:ind w:firstLine="1920" w:firstLineChars="800"/>
        <w:jc w:val="left"/>
        <w:rPr>
          <w:rFonts w:hint="eastAsia" w:ascii="宋体" w:hAnsi="宋体" w:cs="Calibri"/>
          <w:kern w:val="0"/>
          <w:szCs w:val="24"/>
          <w:u w:val="single"/>
        </w:rPr>
      </w:pPr>
      <w:r>
        <w:rPr>
          <w:rFonts w:hint="eastAsia" w:ascii="宋体" w:hAnsi="宋体" w:cs="Calibri"/>
          <w:kern w:val="0"/>
          <w:szCs w:val="24"/>
        </w:rPr>
        <w:t>校对人：</w:t>
      </w:r>
      <w:r>
        <w:rPr>
          <w:rFonts w:hint="eastAsia" w:ascii="宋体" w:hAnsi="宋体" w:cs="Calibri"/>
          <w:kern w:val="0"/>
          <w:szCs w:val="24"/>
          <w:u w:val="single"/>
        </w:rPr>
        <w:t xml:space="preserve">                         </w:t>
      </w:r>
    </w:p>
    <w:p w14:paraId="40ECC867">
      <w:pPr>
        <w:spacing w:after="200"/>
        <w:ind w:firstLine="1920" w:firstLineChars="800"/>
        <w:jc w:val="left"/>
        <w:rPr>
          <w:rFonts w:hint="eastAsia" w:ascii="微软雅黑" w:hAnsi="微软雅黑" w:eastAsia="微软雅黑" w:cs="Calibri"/>
          <w:kern w:val="0"/>
          <w:szCs w:val="24"/>
        </w:rPr>
      </w:pPr>
      <w:r>
        <w:rPr>
          <w:rFonts w:hint="eastAsia" w:ascii="微软雅黑" w:hAnsi="微软雅黑" w:eastAsia="微软雅黑" w:cs="Calibri"/>
          <w:kern w:val="0"/>
          <w:szCs w:val="24"/>
          <w:u w:val="single"/>
        </w:rPr>
        <w:br w:type="page"/>
      </w:r>
    </w:p>
    <w:tbl>
      <w:tblPr>
        <w:tblStyle w:val="23"/>
        <w:tblW w:w="9073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078"/>
        <w:gridCol w:w="2078"/>
        <w:gridCol w:w="2311"/>
      </w:tblGrid>
      <w:tr w14:paraId="26E7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3" w:type="dxa"/>
            <w:gridSpan w:val="4"/>
            <w:vAlign w:val="center"/>
          </w:tcPr>
          <w:p w14:paraId="56D0E4D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修改记录</w:t>
            </w:r>
          </w:p>
        </w:tc>
      </w:tr>
      <w:tr w14:paraId="0A15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A9509D9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12A7803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3EEF2C5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788464A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  <w:r>
              <w:rPr>
                <w:rFonts w:hint="eastAsia" w:ascii="宋体" w:hAnsi="宋体" w:cs="Calibri"/>
                <w:kern w:val="0"/>
                <w:szCs w:val="24"/>
              </w:rPr>
              <w:t>修改内容</w:t>
            </w:r>
          </w:p>
        </w:tc>
      </w:tr>
      <w:tr w14:paraId="35E6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A5D34A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4BA0C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0792506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28E3DD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5C45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6D761A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058AB5F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4B332F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9B69382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D6B2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6FF8FD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53F275E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2D6146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9D938F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7DF1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1BCD8B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D219C8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B33BD7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5AF82D5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6614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227D375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8C0707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9A6CAF0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EC426E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49F3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4436C6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459F1E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9A17EA4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1383FFA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3F17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0E5C187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E225893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6AD0215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36358AB7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  <w:tr w14:paraId="1687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vAlign w:val="center"/>
          </w:tcPr>
          <w:p w14:paraId="7CD6A851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2041C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2C30B6B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F99B37C">
            <w:pPr>
              <w:spacing w:after="200"/>
              <w:jc w:val="center"/>
              <w:rPr>
                <w:rFonts w:hint="eastAsia" w:ascii="宋体" w:hAnsi="宋体" w:cs="Calibri"/>
                <w:kern w:val="0"/>
                <w:szCs w:val="24"/>
              </w:rPr>
            </w:pPr>
          </w:p>
        </w:tc>
      </w:tr>
    </w:tbl>
    <w:p w14:paraId="5E5F033C">
      <w:pPr>
        <w:spacing w:before="156" w:beforeLines="50" w:after="156" w:afterLines="50"/>
        <w:rPr>
          <w:rFonts w:hint="eastAsia" w:ascii="宋体" w:hAnsi="宋体" w:cs="Arial Unicode MS"/>
          <w:sz w:val="28"/>
          <w:szCs w:val="28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2B727333">
      <w:pPr>
        <w:spacing w:before="312" w:beforeLines="100" w:after="312" w:afterLines="100"/>
        <w:jc w:val="center"/>
        <w:outlineLvl w:val="0"/>
      </w:pPr>
      <w:bookmarkStart w:id="3" w:name="_Toc237510523"/>
      <w:bookmarkStart w:id="4" w:name="_Toc536644048"/>
      <w:r>
        <w:rPr>
          <w:rFonts w:hint="eastAsia" w:ascii="宋体" w:hAnsi="宋体"/>
          <w:b/>
          <w:iCs/>
          <w:sz w:val="44"/>
          <w:szCs w:val="32"/>
        </w:rPr>
        <w:t>目  录</w:t>
      </w:r>
      <w:bookmarkEnd w:id="3"/>
      <w:bookmarkEnd w:id="4"/>
      <w:r>
        <w:rPr>
          <w:rFonts w:ascii="宋体" w:hAnsi="宋体"/>
          <w:b/>
          <w:iCs/>
          <w:sz w:val="44"/>
          <w:szCs w:val="32"/>
        </w:rPr>
        <w:fldChar w:fldCharType="begin"/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hint="eastAsia" w:ascii="宋体" w:hAnsi="宋体"/>
          <w:b/>
          <w:iCs/>
          <w:sz w:val="44"/>
          <w:szCs w:val="32"/>
        </w:rPr>
        <w:instrText xml:space="preserve">TOC \o "1-3" \h \z \u</w:instrText>
      </w:r>
      <w:r>
        <w:rPr>
          <w:rFonts w:ascii="宋体" w:hAnsi="宋体"/>
          <w:b/>
          <w:iCs/>
          <w:sz w:val="44"/>
          <w:szCs w:val="32"/>
        </w:rPr>
        <w:instrText xml:space="preserve"> </w:instrText>
      </w:r>
      <w:r>
        <w:rPr>
          <w:rFonts w:ascii="宋体" w:hAnsi="宋体"/>
          <w:b/>
          <w:iCs/>
          <w:sz w:val="44"/>
          <w:szCs w:val="32"/>
        </w:rPr>
        <w:fldChar w:fldCharType="separate"/>
      </w:r>
    </w:p>
    <w:p w14:paraId="60BA43A4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"_Toc237510523" </w:instrText>
      </w:r>
      <w:r>
        <w:fldChar w:fldCharType="separate"/>
      </w:r>
      <w:r>
        <w:rPr>
          <w:rStyle w:val="29"/>
          <w:rFonts w:ascii="宋体" w:hAnsi="宋体"/>
          <w:b/>
          <w:iCs/>
        </w:rPr>
        <w:t>目  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4C1DBCB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"_Toc237510524" </w:instrText>
      </w:r>
      <w:r>
        <w:fldChar w:fldCharType="separate"/>
      </w:r>
      <w:r>
        <w:rPr>
          <w:rStyle w:val="29"/>
        </w:rPr>
        <w:t>第一章 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C19E631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"_Toc237510525" </w:instrText>
      </w:r>
      <w:r>
        <w:fldChar w:fldCharType="separate"/>
      </w:r>
      <w:r>
        <w:rPr>
          <w:rStyle w:val="29"/>
        </w:rPr>
        <w:t>1.1 编写目的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A0D1C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"_Toc237510526" </w:instrText>
      </w:r>
      <w:r>
        <w:fldChar w:fldCharType="separate"/>
      </w:r>
      <w:r>
        <w:rPr>
          <w:rStyle w:val="29"/>
        </w:rPr>
        <w:t>1.2 项目背景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9C690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"_Toc237510527" </w:instrText>
      </w:r>
      <w:r>
        <w:fldChar w:fldCharType="separate"/>
      </w:r>
      <w:r>
        <w:rPr>
          <w:rStyle w:val="29"/>
        </w:rPr>
        <w:t>1.3 阅读人员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76120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"_Toc237510528" </w:instrText>
      </w:r>
      <w:r>
        <w:fldChar w:fldCharType="separate"/>
      </w:r>
      <w:r>
        <w:rPr>
          <w:rStyle w:val="29"/>
        </w:rPr>
        <w:t>1.4 术语定义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79F54C3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"_Toc237510529" </w:instrText>
      </w:r>
      <w:r>
        <w:fldChar w:fldCharType="separate"/>
      </w:r>
      <w:r>
        <w:rPr>
          <w:rStyle w:val="29"/>
        </w:rPr>
        <w:t>1.5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683A717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"_Toc237510530" </w:instrText>
      </w:r>
      <w:r>
        <w:fldChar w:fldCharType="separate"/>
      </w:r>
      <w:r>
        <w:rPr>
          <w:rStyle w:val="29"/>
        </w:rPr>
        <w:t>第二章 软件需求概述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ADE68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"_Toc237510531" </w:instrText>
      </w:r>
      <w:r>
        <w:fldChar w:fldCharType="separate"/>
      </w:r>
      <w:r>
        <w:rPr>
          <w:rStyle w:val="29"/>
        </w:rPr>
        <w:t>2.1 项目简介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172E78D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"_Toc237510532" </w:instrText>
      </w:r>
      <w:r>
        <w:fldChar w:fldCharType="separate"/>
      </w:r>
      <w:r>
        <w:rPr>
          <w:rStyle w:val="29"/>
        </w:rPr>
        <w:t>2.2 设计目标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29B96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"_Toc237510533" </w:instrText>
      </w:r>
      <w:r>
        <w:fldChar w:fldCharType="separate"/>
      </w:r>
      <w:r>
        <w:rPr>
          <w:rStyle w:val="29"/>
        </w:rPr>
        <w:t>2.3 设计平台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BBA9290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"_Toc237510534" </w:instrText>
      </w:r>
      <w:r>
        <w:fldChar w:fldCharType="separate"/>
      </w:r>
      <w:r>
        <w:rPr>
          <w:rStyle w:val="29"/>
        </w:rPr>
        <w:t>第三章 系统架构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F95841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"_Toc237510535" </w:instrText>
      </w:r>
      <w:r>
        <w:fldChar w:fldCharType="separate"/>
      </w:r>
      <w:r>
        <w:rPr>
          <w:rStyle w:val="29"/>
        </w:rPr>
        <w:t>3.1 硬件功能图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F9BD40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"_Toc237510536" </w:instrText>
      </w:r>
      <w:r>
        <w:fldChar w:fldCharType="separate"/>
      </w:r>
      <w:r>
        <w:rPr>
          <w:rStyle w:val="29"/>
        </w:rPr>
        <w:t>3.2 软件功能划分图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DE17F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"_Toc237510537" </w:instrText>
      </w:r>
      <w:r>
        <w:fldChar w:fldCharType="separate"/>
      </w:r>
      <w:r>
        <w:rPr>
          <w:rStyle w:val="29"/>
        </w:rPr>
        <w:t>3.3 软件架构图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4B39A7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"_Toc237510538" </w:instrText>
      </w:r>
      <w:r>
        <w:fldChar w:fldCharType="separate"/>
      </w:r>
      <w:r>
        <w:rPr>
          <w:rStyle w:val="29"/>
        </w:rPr>
        <w:t>3.4 软件运行流程图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EF6EFE">
      <w:pPr>
        <w:pStyle w:val="17"/>
        <w:tabs>
          <w:tab w:val="right" w:leader="dot" w:pos="8296"/>
        </w:tabs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"_Toc237510539" </w:instrText>
      </w:r>
      <w:r>
        <w:fldChar w:fldCharType="separate"/>
      </w:r>
      <w:r>
        <w:rPr>
          <w:rStyle w:val="29"/>
        </w:rPr>
        <w:t>第四章 模块功能详细设计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81F05E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"_Toc237510540" </w:instrText>
      </w:r>
      <w:r>
        <w:fldChar w:fldCharType="separate"/>
      </w:r>
      <w:r>
        <w:rPr>
          <w:rStyle w:val="29"/>
        </w:rPr>
        <w:t>4.1 串口屏功能模块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EF4E25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"_Toc237510541" </w:instrText>
      </w:r>
      <w:r>
        <w:fldChar w:fldCharType="separate"/>
      </w:r>
      <w:r>
        <w:rPr>
          <w:rStyle w:val="29"/>
        </w:rPr>
        <w:t>4.1.1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95AEFF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"_Toc237510542" </w:instrText>
      </w:r>
      <w:r>
        <w:fldChar w:fldCharType="separate"/>
      </w:r>
      <w:r>
        <w:rPr>
          <w:rStyle w:val="29"/>
        </w:rPr>
        <w:t>4.1.2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67200A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"_Toc237510543" </w:instrText>
      </w:r>
      <w:r>
        <w:fldChar w:fldCharType="separate"/>
      </w:r>
      <w:r>
        <w:rPr>
          <w:rStyle w:val="29"/>
        </w:rPr>
        <w:t>4.2 气压传感器通讯模块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44EA56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"_Toc237510544" </w:instrText>
      </w:r>
      <w:r>
        <w:fldChar w:fldCharType="separate"/>
      </w:r>
      <w:r>
        <w:rPr>
          <w:rStyle w:val="29"/>
        </w:rPr>
        <w:t>4.2.1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DEC2C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"_Toc237510545" </w:instrText>
      </w:r>
      <w:r>
        <w:fldChar w:fldCharType="separate"/>
      </w:r>
      <w:r>
        <w:rPr>
          <w:rStyle w:val="29"/>
        </w:rPr>
        <w:t>4.2.2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E233F8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"_Toc237510546" </w:instrText>
      </w:r>
      <w:r>
        <w:fldChar w:fldCharType="separate"/>
      </w:r>
      <w:r>
        <w:rPr>
          <w:rStyle w:val="29"/>
        </w:rPr>
        <w:t>4.3 外部通讯模块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F05A00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"_Toc237510547" </w:instrText>
      </w:r>
      <w:r>
        <w:fldChar w:fldCharType="separate"/>
      </w:r>
      <w:r>
        <w:rPr>
          <w:rStyle w:val="29"/>
        </w:rPr>
        <w:t>4.3.1 硬件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B9B8F2">
      <w:pPr>
        <w:pStyle w:val="13"/>
        <w:tabs>
          <w:tab w:val="right" w:leader="dot" w:pos="8296"/>
        </w:tabs>
        <w:ind w:left="96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"_Toc237510548" </w:instrText>
      </w:r>
      <w:r>
        <w:fldChar w:fldCharType="separate"/>
      </w:r>
      <w:r>
        <w:rPr>
          <w:rStyle w:val="29"/>
        </w:rPr>
        <w:t>4.3.2 软件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F8FAFF">
      <w:pPr>
        <w:pStyle w:val="18"/>
        <w:tabs>
          <w:tab w:val="right" w:leader="dot" w:pos="8296"/>
        </w:tabs>
        <w:ind w:left="480"/>
        <w:rPr>
          <w:rFonts w:hint="eastAsia" w:asciiTheme="minorHAnsi" w:hAnsiTheme="minorHAnsi" w:eastAsiaTheme="minorEastAsia" w:cstheme="minorBidi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"_Toc237510549" </w:instrText>
      </w:r>
      <w:r>
        <w:fldChar w:fldCharType="separate"/>
      </w:r>
      <w:r>
        <w:rPr>
          <w:rStyle w:val="29"/>
        </w:rPr>
        <w:t>4.4 电磁阀控制模块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_Toc237510549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7ECD233">
      <w:pPr>
        <w:pStyle w:val="18"/>
        <w:tabs>
          <w:tab w:val="right" w:leader="dot" w:pos="8302"/>
        </w:tabs>
        <w:spacing w:line="400" w:lineRule="exact"/>
        <w:ind w:left="0" w:leftChars="0"/>
        <w:rPr>
          <w:rFonts w:hint="eastAsia" w:ascii="宋体" w:hAnsi="宋体"/>
        </w:rPr>
      </w:pPr>
      <w:r>
        <w:rPr>
          <w:rFonts w:ascii="宋体" w:hAnsi="宋体" w:cs="Arial Unicode MS"/>
          <w:sz w:val="28"/>
          <w:szCs w:val="28"/>
        </w:rPr>
        <w:fldChar w:fldCharType="end"/>
      </w:r>
      <w:r>
        <w:rPr>
          <w:rFonts w:ascii="宋体" w:hAnsi="宋体"/>
        </w:rPr>
        <w:t xml:space="preserve"> </w:t>
      </w:r>
    </w:p>
    <w:p w14:paraId="1348BE67">
      <w:pPr>
        <w:ind w:right="1120"/>
        <w:rPr>
          <w:rFonts w:hint="eastAsia" w:ascii="宋体" w:hAnsi="宋体" w:cs="Arial Unicode MS"/>
          <w:sz w:val="28"/>
          <w:szCs w:val="28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440" w:right="1800" w:bottom="1440" w:left="1800" w:header="851" w:footer="992" w:gutter="0"/>
          <w:pgNumType w:start="0"/>
          <w:cols w:space="720" w:num="1"/>
          <w:docGrid w:type="lines" w:linePitch="312" w:charSpace="0"/>
        </w:sectPr>
      </w:pPr>
    </w:p>
    <w:p w14:paraId="68BD4105">
      <w:pPr>
        <w:pStyle w:val="2"/>
        <w:jc w:val="center"/>
      </w:pPr>
      <w:bookmarkStart w:id="5" w:name="_Toc237510524"/>
      <w:r>
        <w:rPr>
          <w:rFonts w:hint="eastAsia"/>
        </w:rPr>
        <w:t>引言</w:t>
      </w:r>
      <w:bookmarkEnd w:id="5"/>
    </w:p>
    <w:p w14:paraId="3F744138">
      <w:pPr>
        <w:pStyle w:val="3"/>
      </w:pPr>
      <w:bookmarkStart w:id="6" w:name="_Toc237510525"/>
      <w:r>
        <w:rPr>
          <w:rFonts w:hint="eastAsia"/>
        </w:rPr>
        <w:t>编写目的</w:t>
      </w:r>
      <w:bookmarkEnd w:id="6"/>
    </w:p>
    <w:p w14:paraId="6DCA461A">
      <w:pPr>
        <w:widowControl/>
        <w:spacing w:after="60"/>
        <w:ind w:firstLine="420"/>
        <w:rPr>
          <w:rFonts w:hint="default" w:eastAsia="宋体"/>
          <w:lang w:val="en-US" w:eastAsia="zh-CN"/>
        </w:rPr>
      </w:pPr>
      <w:r>
        <w:rPr>
          <w:rFonts w:hint="eastAsia"/>
          <w:color w:val="000000"/>
          <w:lang w:val="en-US" w:eastAsia="zh-CN"/>
        </w:rPr>
        <w:t>本</w:t>
      </w:r>
      <w:r>
        <w:rPr>
          <w:color w:val="000000"/>
        </w:rPr>
        <w:t>文定义基于 R7FA4M1AB3CFM 的六路质量流量计控制系统初步软件方案，用于硬件接口核对、固件开发和联调。</w:t>
      </w:r>
      <w:r>
        <w:rPr>
          <w:rFonts w:hint="eastAsia"/>
          <w:color w:val="000000"/>
          <w:lang w:val="en-US" w:eastAsia="zh-CN"/>
        </w:rPr>
        <w:t>MCU</w:t>
      </w:r>
      <w:r>
        <w:rPr>
          <w:color w:val="000000"/>
        </w:rPr>
        <w:t xml:space="preserve">通过 RJ45 </w:t>
      </w:r>
      <w:r>
        <w:rPr>
          <w:rFonts w:hint="eastAsia"/>
          <w:color w:val="000000"/>
          <w:lang w:val="en-US" w:eastAsia="zh-CN"/>
        </w:rPr>
        <w:t>/RS485</w:t>
      </w:r>
      <w:r>
        <w:rPr>
          <w:color w:val="000000"/>
        </w:rPr>
        <w:t>向六台 EX-201S 系列质量流量控制器下发流量设定并读取运行参数，同时管理气路图中的九个外部电磁阀。</w:t>
      </w:r>
      <w:r>
        <w:rPr>
          <w:rFonts w:hint="eastAsia"/>
          <w:color w:val="000000"/>
          <w:lang w:val="en-US" w:eastAsia="zh-CN"/>
        </w:rPr>
        <w:t>上位机通过CAN通讯/RJ45控制MCU，同时也可读取当前设备状态、阀门状态、流量计参数等参数。</w:t>
      </w:r>
    </w:p>
    <w:p w14:paraId="79E5F249">
      <w:pPr>
        <w:widowControl/>
        <w:spacing w:after="60"/>
        <w:ind w:firstLine="420"/>
        <w:rPr>
          <w:rFonts w:ascii="Segoe UI" w:hAnsi="Segoe UI" w:eastAsia="Segoe UI" w:cs="Segoe UI"/>
          <w:color w:val="000000"/>
          <w:spacing w:val="-2"/>
          <w:szCs w:val="24"/>
          <w:shd w:val="clear" w:color="auto" w:fill="FFFFFF"/>
        </w:rPr>
      </w:pPr>
      <w:r>
        <w:rPr>
          <w:color w:val="000000"/>
        </w:rPr>
        <w:t>初步方案采用一条总线、六个独立通道对象和统一阀门联锁。设备内部完成流量闭环，MCU 负责设定、监测与过程协调。</w:t>
      </w:r>
      <w:r>
        <w:rPr>
          <w:rFonts w:hint="eastAsia"/>
          <w:color w:val="000000"/>
          <w:lang w:val="en-US" w:eastAsia="zh-CN"/>
        </w:rPr>
        <w:t>上位机也可通过CAN通讯/RJ45完成检测和协调工作。</w:t>
      </w:r>
    </w:p>
    <w:p w14:paraId="408DD15D">
      <w:pPr>
        <w:pStyle w:val="3"/>
      </w:pPr>
      <w:bookmarkStart w:id="7" w:name="_Toc237510526"/>
      <w:r>
        <w:rPr>
          <w:rFonts w:hint="eastAsia"/>
        </w:rPr>
        <w:t>项目背景</w:t>
      </w:r>
      <w:bookmarkEnd w:id="7"/>
    </w:p>
    <w:p w14:paraId="538F7F49">
      <w:pPr>
        <w:ind w:firstLine="420"/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>气路由六条支路</w:t>
      </w:r>
      <w:r>
        <w:rPr>
          <w:rFonts w:hint="eastAsia"/>
          <w:color w:val="000000"/>
          <w:lang w:val="en-US" w:eastAsia="zh-CN"/>
        </w:rPr>
        <w:t>流量计</w:t>
      </w:r>
      <w:r>
        <w:rPr>
          <w:color w:val="000000"/>
        </w:rPr>
        <w:t>汇入混气管，其中五路</w:t>
      </w:r>
      <w:r>
        <w:rPr>
          <w:rFonts w:hint="eastAsia"/>
          <w:color w:val="000000"/>
          <w:lang w:val="en-US" w:eastAsia="zh-CN"/>
        </w:rPr>
        <w:t>为常规使用气体</w:t>
      </w:r>
      <w:r>
        <w:rPr>
          <w:color w:val="000000"/>
        </w:rPr>
        <w:t>，第六路预留。</w:t>
      </w:r>
      <w:r>
        <w:rPr>
          <w:rFonts w:hint="eastAsia"/>
          <w:color w:val="000000"/>
          <w:lang w:val="en-US" w:eastAsia="zh-CN"/>
        </w:rPr>
        <w:t>电磁阀</w:t>
      </w:r>
      <w:r>
        <w:rPr>
          <w:color w:val="000000"/>
        </w:rPr>
        <w:t>V1 至 V6 为支路阀，混气管后配置 V7、V8、V9，支持正常输出和排空、校准或测试气体通路。</w:t>
      </w:r>
      <w:r>
        <w:rPr>
          <w:rFonts w:hint="eastAsia"/>
          <w:color w:val="000000"/>
          <w:lang w:val="en-US" w:eastAsia="zh-CN"/>
        </w:rPr>
        <w:t>其中v7和v8打开时，v9不可开；v9打开时，v7，v8不可打开，形成互斥。</w:t>
      </w:r>
    </w:p>
    <w:p w14:paraId="3FC924E2">
      <w:pPr>
        <w:keepNext w:val="0"/>
        <w:keepLines w:val="0"/>
        <w:widowControl/>
        <w:suppressLineNumbers w:val="0"/>
        <w:ind w:firstLine="480" w:firstLineChars="200"/>
        <w:jc w:val="left"/>
      </w:pPr>
      <w:r>
        <w:t>项目核心约束包括：硬件平台限定为瑞萨</w:t>
      </w:r>
      <w:r>
        <w:rPr>
          <w:rFonts w:hint="default"/>
          <w:lang w:val="en-US" w:eastAsia="zh-CN"/>
        </w:rPr>
        <w:t>R7FA4M1AB3CFM</w:t>
      </w:r>
      <w:r>
        <w:t>微控制器（搭载</w:t>
      </w:r>
      <w:r>
        <w:rPr>
          <w:rFonts w:hint="eastAsia"/>
        </w:rPr>
        <w:t>48</w:t>
      </w:r>
      <w:r>
        <w:t>MHz Arm® Cortex®-M</w:t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t>F</w:t>
      </w:r>
      <w:r>
        <w:t>内核，</w:t>
      </w:r>
      <w:r>
        <w:rPr>
          <w:rFonts w:hint="eastAsia"/>
        </w:rPr>
        <w:t>256K</w:t>
      </w:r>
      <w:r>
        <w:t>B Flash，</w:t>
      </w:r>
      <w:r>
        <w:rPr>
          <w:rFonts w:hint="eastAsia"/>
          <w:lang w:val="en-US" w:eastAsia="zh-CN"/>
        </w:rPr>
        <w:t xml:space="preserve">8KB DataFlash  </w:t>
      </w:r>
      <w:r>
        <w:rPr>
          <w:rFonts w:hint="eastAsia"/>
        </w:rPr>
        <w:t>32</w:t>
      </w:r>
      <w:r>
        <w:t>KB SRAM）；为满足</w:t>
      </w:r>
      <w:r>
        <w:rPr>
          <w:rFonts w:hint="eastAsia"/>
        </w:rPr>
        <w:t>工业级</w:t>
      </w:r>
      <w:r>
        <w:t>能效标准，系统在待机模式下的功耗必须小于</w:t>
      </w:r>
      <w:r>
        <w:rPr>
          <w:rFonts w:hint="eastAsia"/>
          <w:lang w:val="en-US" w:eastAsia="zh-CN"/>
        </w:rPr>
        <w:t>100W</w:t>
      </w:r>
      <w:r>
        <w:t>；所有软件设计需考虑产品的长期可靠性要求，确保在-</w:t>
      </w:r>
      <w:r>
        <w:rPr>
          <w:rFonts w:hint="eastAsia"/>
          <w:lang w:val="en-US" w:eastAsia="zh-CN"/>
        </w:rPr>
        <w:t>1</w:t>
      </w:r>
      <w:r>
        <w:t>0℃ 至 +</w:t>
      </w:r>
      <w:r>
        <w:rPr>
          <w:rFonts w:hint="eastAsia"/>
          <w:lang w:val="en-US" w:eastAsia="zh-CN"/>
        </w:rPr>
        <w:t>40</w:t>
      </w:r>
      <w:r>
        <w:t>℃的环境温度下稳定工作。这些硬件资源与性能指标是本次软件设计的根本约束条件。</w:t>
      </w:r>
    </w:p>
    <w:p w14:paraId="2298C859">
      <w:pPr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系统目标：</w:t>
      </w:r>
      <w:r>
        <w:rPr>
          <w:rFonts w:hint="eastAsia"/>
          <w:lang w:val="en-US" w:eastAsia="zh-CN"/>
        </w:rPr>
        <w:t>保证流量计数据的实时传输和控制，保证阀门控制的实时性和安全性。提供上位机通过CAN/RJ45通讯对MCU的控制和监测，以及MCU通过RS485/RJ45对质量流量计的控制。</w:t>
      </w:r>
    </w:p>
    <w:p w14:paraId="5A4AB46E">
      <w:pPr>
        <w:ind w:firstLine="420"/>
      </w:pPr>
    </w:p>
    <w:p w14:paraId="7EF8BF57">
      <w:pPr>
        <w:pStyle w:val="3"/>
      </w:pPr>
      <w:bookmarkStart w:id="8" w:name="_Toc237510527"/>
      <w:r>
        <w:rPr>
          <w:rFonts w:hint="eastAsia"/>
        </w:rPr>
        <w:t>阅读人员</w:t>
      </w:r>
      <w:bookmarkEnd w:id="8"/>
    </w:p>
    <w:p w14:paraId="27D17594">
      <w:pPr>
        <w:rPr>
          <w:rFonts w:hint="eastAsia" w:ascii="宋体" w:hAnsi="宋体"/>
          <w:szCs w:val="28"/>
        </w:rPr>
      </w:pPr>
      <w:r>
        <w:tab/>
      </w:r>
      <w:r>
        <w:rPr>
          <w:rFonts w:hint="eastAsia" w:ascii="宋体" w:hAnsi="宋体"/>
          <w:szCs w:val="28"/>
        </w:rPr>
        <w:t>预期参考人员包括测试人员、开发人员、项目管理人员、研发部门经理、高层经理等。</w:t>
      </w:r>
    </w:p>
    <w:p w14:paraId="299863BE">
      <w:pPr>
        <w:pStyle w:val="3"/>
      </w:pPr>
      <w:bookmarkStart w:id="9" w:name="_Toc237510528"/>
      <w:r>
        <w:rPr>
          <w:rFonts w:hint="eastAsia"/>
        </w:rPr>
        <w:t>术语定义</w:t>
      </w:r>
      <w:bookmarkEnd w:id="9"/>
    </w:p>
    <w:tbl>
      <w:tblPr>
        <w:tblStyle w:val="23"/>
        <w:tblW w:w="107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8364"/>
      </w:tblGrid>
      <w:tr w14:paraId="55F7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637339C">
            <w:r>
              <w:rPr>
                <w:rFonts w:hint="eastAsia"/>
              </w:rPr>
              <w:t>专业词汇</w:t>
            </w:r>
          </w:p>
        </w:tc>
        <w:tc>
          <w:tcPr>
            <w:tcW w:w="8364" w:type="dxa"/>
          </w:tcPr>
          <w:p w14:paraId="1EC3BB5E">
            <w:r>
              <w:rPr>
                <w:rFonts w:hint="eastAsia"/>
              </w:rPr>
              <w:t>详细描述</w:t>
            </w:r>
          </w:p>
        </w:tc>
      </w:tr>
      <w:tr w14:paraId="1B5C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209448B2"/>
        </w:tc>
        <w:tc>
          <w:tcPr>
            <w:tcW w:w="8364" w:type="dxa"/>
          </w:tcPr>
          <w:p w14:paraId="73B5AA87"/>
        </w:tc>
      </w:tr>
      <w:tr w14:paraId="68778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3FAE108">
            <w:pPr>
              <w:ind w:firstLine="420"/>
            </w:pPr>
          </w:p>
        </w:tc>
        <w:tc>
          <w:tcPr>
            <w:tcW w:w="8364" w:type="dxa"/>
          </w:tcPr>
          <w:p w14:paraId="3A97B13F"/>
        </w:tc>
      </w:tr>
      <w:tr w14:paraId="1058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B83B497"/>
        </w:tc>
        <w:tc>
          <w:tcPr>
            <w:tcW w:w="8364" w:type="dxa"/>
          </w:tcPr>
          <w:p w14:paraId="16B3F207"/>
        </w:tc>
      </w:tr>
      <w:tr w14:paraId="151F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83C886C"/>
        </w:tc>
        <w:tc>
          <w:tcPr>
            <w:tcW w:w="8364" w:type="dxa"/>
          </w:tcPr>
          <w:p w14:paraId="054A7965"/>
        </w:tc>
      </w:tr>
    </w:tbl>
    <w:p w14:paraId="7F7745A7"/>
    <w:p w14:paraId="1DB80F7B">
      <w:pPr>
        <w:pStyle w:val="3"/>
      </w:pPr>
      <w:bookmarkStart w:id="10" w:name="_Toc237510529"/>
      <w:r>
        <w:rPr>
          <w:rFonts w:hint="eastAsia"/>
        </w:rPr>
        <w:t>参考资料</w:t>
      </w:r>
      <w:bookmarkEnd w:id="10"/>
    </w:p>
    <w:p w14:paraId="3936A63E">
      <w:pPr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br w:type="page"/>
      </w:r>
    </w:p>
    <w:p w14:paraId="00947A16">
      <w:pPr>
        <w:pStyle w:val="2"/>
        <w:jc w:val="center"/>
      </w:pPr>
      <w:bookmarkStart w:id="11" w:name="_Toc237510530"/>
      <w:r>
        <w:rPr>
          <w:rFonts w:hint="eastAsia"/>
        </w:rPr>
        <w:t>软件需求概述</w:t>
      </w:r>
      <w:bookmarkEnd w:id="11"/>
    </w:p>
    <w:p w14:paraId="5B1C3E23">
      <w:pPr>
        <w:pStyle w:val="3"/>
      </w:pPr>
      <w:bookmarkStart w:id="12" w:name="_Toc237510531"/>
      <w:r>
        <w:rPr>
          <w:rFonts w:hint="eastAsia"/>
        </w:rPr>
        <w:t>项目简介</w:t>
      </w:r>
      <w:bookmarkEnd w:id="12"/>
    </w:p>
    <w:p w14:paraId="30186DE9">
      <w:pPr>
        <w:widowControl/>
        <w:spacing w:after="60"/>
        <w:ind w:firstLine="420"/>
      </w:pPr>
      <w:r>
        <w:rPr>
          <w:color w:val="000000"/>
        </w:rPr>
        <w:t>六台 MFC 使用独立地址接入同一条半双工 RS485 总线，由 MCU 逐台访问。软件维持设定流量、实际流量、气体类型、满量程、内部阀状态、设备报警和通讯状态。V1 至 V6 与对应 MFC 成对管理，V7 至 V9 统一联锁。CAN 与以太网作为独立上行接口，共用同一业务接口和状态缓存，上位机请求经 MCU 转换为下行事务。</w:t>
      </w:r>
    </w:p>
    <w:p w14:paraId="664DC4FE">
      <w:pPr>
        <w:ind w:firstLine="420"/>
      </w:pPr>
      <w:r>
        <w:t>软件系统</w:t>
      </w:r>
      <w:r>
        <w:rPr>
          <w:rFonts w:hint="eastAsia"/>
        </w:rPr>
        <w:t>以</w:t>
      </w:r>
      <w:r>
        <w:t>瑞萨RA4M</w:t>
      </w:r>
      <w:r>
        <w:rPr>
          <w:rFonts w:hint="eastAsia"/>
        </w:rPr>
        <w:t>1</w:t>
      </w:r>
      <w:r>
        <w:t>微控制器作为核心处理单元</w:t>
      </w:r>
      <w:r>
        <w:rPr>
          <w:rFonts w:hint="eastAsia"/>
        </w:rPr>
        <w:t>：</w:t>
      </w:r>
      <w:r>
        <w:t>主要包括</w:t>
      </w:r>
      <w:r>
        <w:rPr>
          <w:rFonts w:hint="eastAsia"/>
          <w:lang w:val="en-US" w:eastAsia="zh-CN"/>
        </w:rPr>
        <w:t>流量计数据</w:t>
      </w:r>
      <w:r>
        <w:t>采集、</w:t>
      </w:r>
      <w:r>
        <w:rPr>
          <w:rFonts w:hint="eastAsia"/>
          <w:lang w:val="en-US" w:eastAsia="zh-CN"/>
        </w:rPr>
        <w:t>流量计</w:t>
      </w:r>
      <w:r>
        <w:t>状态管理、阀门控制、通信管理、参数管理以及故障恢复等功能模块。</w:t>
      </w:r>
    </w:p>
    <w:p w14:paraId="5B840242">
      <w:pPr>
        <w:ind w:firstLine="420"/>
        <w:rPr>
          <w:rFonts w:hint="eastAsia" w:ascii="宋体" w:hAnsi="宋体" w:cs="宋体"/>
          <w:szCs w:val="24"/>
        </w:rPr>
      </w:pPr>
      <w:r>
        <w:t>通过软硬件协同设计，实现对</w:t>
      </w:r>
      <w:r>
        <w:rPr>
          <w:rFonts w:hint="eastAsia"/>
          <w:lang w:val="en-US" w:eastAsia="zh-CN"/>
        </w:rPr>
        <w:t>多路流量计和阀门</w:t>
      </w:r>
      <w:r>
        <w:t>的统一监测和自动管理，提高</w:t>
      </w:r>
      <w:r>
        <w:rPr>
          <w:rFonts w:hint="eastAsia"/>
          <w:lang w:val="en-US" w:eastAsia="zh-CN"/>
        </w:rPr>
        <w:t>系统</w:t>
      </w:r>
      <w:r>
        <w:t>的自动化程度和运行可靠性，为后续设备扩展、状态监控及远程通信提供软件基础。</w:t>
      </w:r>
    </w:p>
    <w:p w14:paraId="72578C91">
      <w:pPr>
        <w:pStyle w:val="3"/>
      </w:pPr>
      <w:bookmarkStart w:id="13" w:name="_Toc237510532"/>
      <w:r>
        <w:rPr>
          <w:rFonts w:hint="eastAsia"/>
        </w:rPr>
        <w:t>设计目标</w:t>
      </w:r>
      <w:bookmarkEnd w:id="13"/>
    </w:p>
    <w:p w14:paraId="23B89AC7">
      <w:pPr>
        <w:adjustRightInd w:val="0"/>
        <w:snapToGrid w:val="0"/>
        <w:ind w:firstLine="480" w:firstLineChars="200"/>
      </w:pPr>
      <w:r>
        <w:t>本项目软件设计的总体目标是建立一套结构清晰、运行稳定、具有较高可靠性和可扩展性的</w:t>
      </w:r>
      <w:r>
        <w:rPr>
          <w:rFonts w:hint="eastAsia"/>
          <w:lang w:val="en-US" w:eastAsia="zh-CN"/>
        </w:rPr>
        <w:t>流量计气源</w:t>
      </w:r>
      <w:r>
        <w:t>控制</w:t>
      </w:r>
      <w:r>
        <w:rPr>
          <w:rFonts w:hint="eastAsia"/>
          <w:lang w:val="en-US" w:eastAsia="zh-CN"/>
        </w:rPr>
        <w:t>系统</w:t>
      </w:r>
      <w:r>
        <w:t>，实现</w:t>
      </w:r>
      <w:r>
        <w:rPr>
          <w:rFonts w:hint="eastAsia"/>
          <w:lang w:val="en-US" w:eastAsia="zh-CN"/>
        </w:rPr>
        <w:t>参数读取，设备控制</w:t>
      </w:r>
      <w:r>
        <w:t>和故障报警等功能，使</w:t>
      </w:r>
      <w:r>
        <w:rPr>
          <w:rFonts w:hint="eastAsia"/>
          <w:lang w:val="en-US" w:eastAsia="zh-CN"/>
        </w:rPr>
        <w:t>流量计</w:t>
      </w:r>
      <w:r>
        <w:t>系统能够按照预定控制逻辑长期稳定运行。</w:t>
      </w:r>
    </w:p>
    <w:p w14:paraId="7C1680C2">
      <w:pPr>
        <w:adjustRightInd w:val="0"/>
        <w:snapToGrid w:val="0"/>
        <w:ind w:firstLine="480" w:firstLineChars="200"/>
      </w:pPr>
      <w:r>
        <w:t>具体设计目标如下：</w:t>
      </w:r>
    </w:p>
    <w:tbl>
      <w:tblPr>
        <w:tblStyle w:val="23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5" w:type="dxa"/>
          <w:left w:w="108" w:type="dxa"/>
          <w:bottom w:w="65" w:type="dxa"/>
          <w:right w:w="108" w:type="dxa"/>
        </w:tblCellMar>
      </w:tblPr>
      <w:tblGrid>
        <w:gridCol w:w="1868"/>
        <w:gridCol w:w="8598"/>
      </w:tblGrid>
      <w:tr w14:paraId="2F08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  <w:tblHeader/>
        </w:trPr>
        <w:tc>
          <w:tcPr>
            <w:tcW w:w="1868" w:type="dxa"/>
            <w:vAlign w:val="center"/>
          </w:tcPr>
          <w:p w14:paraId="38E46ADD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功能项</w:t>
            </w:r>
          </w:p>
        </w:tc>
        <w:tc>
          <w:tcPr>
            <w:tcW w:w="8598" w:type="dxa"/>
            <w:vAlign w:val="center"/>
          </w:tcPr>
          <w:p w14:paraId="2DE46BD0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初步设计要求</w:t>
            </w:r>
          </w:p>
        </w:tc>
      </w:tr>
      <w:tr w14:paraId="66FE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03B90EE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参数读取</w:t>
            </w:r>
          </w:p>
        </w:tc>
        <w:tc>
          <w:tcPr>
            <w:tcW w:w="8598" w:type="dxa"/>
            <w:vAlign w:val="center"/>
          </w:tcPr>
          <w:p w14:paraId="6D7CC77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读取六路实际流量、设定值、气体类型、量程、小数位、单位、流量基准温度、内部阀状态及设备报警。</w:t>
            </w:r>
          </w:p>
        </w:tc>
      </w:tr>
      <w:tr w14:paraId="4EAC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4104998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流量控制</w:t>
            </w:r>
          </w:p>
        </w:tc>
        <w:tc>
          <w:tcPr>
            <w:tcW w:w="8598" w:type="dxa"/>
            <w:vAlign w:val="center"/>
          </w:tcPr>
          <w:p w14:paraId="688197D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每路独立启停和设定；写入后回读确认；对超量程、未就绪、未获许可及低于可控范围的非零设定返回明确错误。</w:t>
            </w:r>
          </w:p>
        </w:tc>
      </w:tr>
      <w:tr w14:paraId="32F65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9971F2A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通路控制</w:t>
            </w:r>
          </w:p>
        </w:tc>
        <w:tc>
          <w:tcPr>
            <w:tcW w:w="8598" w:type="dxa"/>
            <w:vAlign w:val="center"/>
          </w:tcPr>
          <w:p w14:paraId="7593677F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统一管理 V1 至 V9；V7 或 V8 开启时禁止 V9，V9 开启时禁止 V7 和 V8。所有本地与远程入口执行同一互斥规则</w:t>
            </w:r>
            <w:r>
              <w:rPr>
                <w:rFonts w:hint="eastAsia"/>
                <w:color w:val="000000"/>
                <w:sz w:val="22"/>
                <w:lang w:eastAsia="zh-CN"/>
              </w:rPr>
              <w:t>（</w:t>
            </w:r>
            <w:r>
              <w:rPr>
                <w:rFonts w:hint="eastAsia"/>
                <w:color w:val="000000"/>
                <w:sz w:val="22"/>
                <w:lang w:val="en-US" w:eastAsia="zh-CN"/>
              </w:rPr>
              <w:t>后续增加</w:t>
            </w:r>
            <w:r>
              <w:rPr>
                <w:rFonts w:hint="eastAsia"/>
                <w:color w:val="000000"/>
                <w:sz w:val="22"/>
                <w:lang w:eastAsia="zh-CN"/>
              </w:rPr>
              <w:t>）</w:t>
            </w:r>
            <w:r>
              <w:rPr>
                <w:color w:val="000000"/>
                <w:sz w:val="22"/>
              </w:rPr>
              <w:t>。</w:t>
            </w:r>
          </w:p>
        </w:tc>
      </w:tr>
      <w:tr w14:paraId="7BB47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2FDF6E87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异常处理</w:t>
            </w:r>
          </w:p>
        </w:tc>
        <w:tc>
          <w:tcPr>
            <w:tcW w:w="8598" w:type="dxa"/>
            <w:vAlign w:val="center"/>
          </w:tcPr>
          <w:p w14:paraId="29A00A3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对超时、校验错误、设备 NG、流量持续偏差、设备报警和手动关闭分别处理，禁止把无效流量当作零流量。</w:t>
            </w:r>
          </w:p>
        </w:tc>
      </w:tr>
      <w:tr w14:paraId="41F6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4AA394D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恢复管理</w:t>
            </w:r>
          </w:p>
        </w:tc>
        <w:tc>
          <w:tcPr>
            <w:tcW w:w="8598" w:type="dxa"/>
            <w:vAlign w:val="center"/>
          </w:tcPr>
          <w:p w14:paraId="21653031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复位后默认关断；重连先核对参数和状态，再等待新的启动请求。</w:t>
            </w:r>
          </w:p>
        </w:tc>
      </w:tr>
      <w:tr w14:paraId="26DF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2A87A613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可维护性</w:t>
            </w:r>
          </w:p>
        </w:tc>
        <w:tc>
          <w:tcPr>
            <w:tcW w:w="8598" w:type="dxa"/>
            <w:vAlign w:val="center"/>
          </w:tcPr>
          <w:p w14:paraId="30FAF6ED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驱动、协议、通道和业务分层；硬件极性、阈值及延迟可追溯。</w:t>
            </w:r>
          </w:p>
        </w:tc>
      </w:tr>
      <w:tr w14:paraId="7CFE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702E3860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上行控制与监测</w:t>
            </w:r>
          </w:p>
        </w:tc>
        <w:tc>
          <w:tcPr>
            <w:tcW w:w="8598" w:type="dxa"/>
            <w:vAlign w:val="center"/>
          </w:tcPr>
          <w:p w14:paraId="3835A4C0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同时提供 CAN 和以太网接口，读取整机、阀门与六路 MFC 状态；支持上位机协调，执行结果经 MCU 确认后返回。</w:t>
            </w:r>
          </w:p>
        </w:tc>
      </w:tr>
      <w:tr w14:paraId="3B08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3D19D008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待机功耗</w:t>
            </w:r>
          </w:p>
        </w:tc>
        <w:tc>
          <w:tcPr>
            <w:tcW w:w="8598" w:type="dxa"/>
            <w:vAlign w:val="center"/>
          </w:tcPr>
          <w:p w14:paraId="224E9076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系统待机功耗必须小于 100 W，按确认的测量边界与待机负载实测。</w:t>
            </w:r>
          </w:p>
        </w:tc>
      </w:tr>
      <w:tr w14:paraId="63E9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5" w:type="dxa"/>
            <w:left w:w="108" w:type="dxa"/>
            <w:bottom w:w="65" w:type="dxa"/>
            <w:right w:w="108" w:type="dxa"/>
          </w:tblCellMar>
        </w:tblPrEx>
        <w:trPr>
          <w:cantSplit/>
        </w:trPr>
        <w:tc>
          <w:tcPr>
            <w:tcW w:w="1868" w:type="dxa"/>
            <w:vAlign w:val="center"/>
          </w:tcPr>
          <w:p w14:paraId="57ABCBC5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环境与可靠性</w:t>
            </w:r>
          </w:p>
        </w:tc>
        <w:tc>
          <w:tcPr>
            <w:tcW w:w="8598" w:type="dxa"/>
            <w:vAlign w:val="center"/>
          </w:tcPr>
          <w:p w14:paraId="74B52213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整机在 −10 ℃ 至 +40 ℃ 环境稳定工作；完成仪表温度适配及长期运行验证，验收时长待确认。</w:t>
            </w:r>
          </w:p>
        </w:tc>
      </w:tr>
    </w:tbl>
    <w:p w14:paraId="145A8386"/>
    <w:p w14:paraId="560088AC">
      <w:pPr>
        <w:pStyle w:val="3"/>
      </w:pPr>
      <w:bookmarkStart w:id="14" w:name="_Toc237510533"/>
      <w:bookmarkStart w:id="15" w:name="_Toc188631761"/>
      <w:r>
        <w:rPr>
          <w:rFonts w:hint="eastAsia"/>
        </w:rPr>
        <w:t>设计平台</w:t>
      </w:r>
      <w:bookmarkEnd w:id="14"/>
      <w:bookmarkEnd w:id="15"/>
    </w:p>
    <w:p w14:paraId="6D8801F4">
      <w:r>
        <w:rPr>
          <w:rFonts w:hint="eastAsia"/>
        </w:rPr>
        <w:t>1.</w:t>
      </w:r>
      <w:r>
        <w:t>硬件平台</w:t>
      </w:r>
    </w:p>
    <w:p w14:paraId="15BFD4D2">
      <w:pPr>
        <w:keepNext w:val="0"/>
        <w:keepLines w:val="0"/>
        <w:widowControl/>
        <w:suppressLineNumbers w:val="0"/>
        <w:jc w:val="left"/>
      </w:pPr>
      <w:r>
        <w:t xml:space="preserve">主控微控制器：瑞萨 </w:t>
      </w:r>
      <w:r>
        <w:rPr>
          <w:rFonts w:hint="default"/>
          <w:lang w:val="en-US" w:eastAsia="zh-CN"/>
        </w:rPr>
        <w:t>R7FA4M1AB3CFM</w:t>
      </w:r>
    </w:p>
    <w:p w14:paraId="3ECBB90B">
      <w:r>
        <w:rPr>
          <w:rFonts w:hint="eastAsia"/>
          <w:lang w:val="en-US" w:eastAsia="zh-CN"/>
        </w:rPr>
        <w:t>SPI转CAN电路</w:t>
      </w:r>
      <w:r>
        <w:t>模块：</w:t>
      </w:r>
      <w:r>
        <w:rPr>
          <w:rFonts w:hint="default"/>
          <w:lang w:val="en-US" w:eastAsia="zh-CN"/>
        </w:rPr>
        <w:t>MCP2515-I/ST</w:t>
      </w:r>
      <w:r>
        <w:rPr>
          <w:rFonts w:hint="eastAsia"/>
          <w:lang w:val="en-US" w:eastAsia="zh-CN"/>
        </w:rPr>
        <w:t>，</w:t>
      </w:r>
      <w:r>
        <w:t>通过 SPI 接口与主控 MCU 通信，为没有 CAN 外设的 MCU 扩展 CAN 通信能力的芯片。</w:t>
      </w:r>
    </w:p>
    <w:p w14:paraId="7E7B66FB">
      <w:pPr>
        <w:rPr>
          <w:rFonts w:hint="default" w:eastAsia="宋体"/>
          <w:lang w:val="en-US" w:eastAsia="zh-CN"/>
        </w:rPr>
      </w:pPr>
      <w:r>
        <w:t>通信接口：</w:t>
      </w:r>
      <w:r>
        <w:rPr>
          <w:rFonts w:hint="eastAsia"/>
          <w:lang w:val="en-US" w:eastAsia="zh-CN"/>
        </w:rPr>
        <w:t>对传感器RJ45/RS485;对上位机RJ45/CAN</w:t>
      </w:r>
    </w:p>
    <w:p w14:paraId="5F2AB700">
      <w:r>
        <w:t>调试工具：瑞萨官方调试工具E2/E2 Lite，或J-Link仿真器。</w:t>
      </w:r>
    </w:p>
    <w:p w14:paraId="04BB52BF">
      <w:r>
        <w:t>2. 软件平台</w:t>
      </w:r>
    </w:p>
    <w:p w14:paraId="21621167">
      <w:r>
        <w:t>集成开发环境：瑞萨官方e² studio。</w:t>
      </w:r>
    </w:p>
    <w:p w14:paraId="4A424FBE">
      <w:r>
        <w:t>编译器：Arm® GCC编译器。</w:t>
      </w:r>
    </w:p>
    <w:p w14:paraId="6CFA161F">
      <w:r>
        <w:t>硬件抽象层：使用瑞萨灵活配置软件包FSP v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>.0，配置引脚、时钟、外设驱动等。</w:t>
      </w:r>
    </w:p>
    <w:p w14:paraId="270A12BE">
      <w:pPr>
        <w:rPr>
          <w:rFonts w:hint="eastAsia" w:ascii="宋体" w:hAnsi="宋体"/>
          <w:szCs w:val="28"/>
        </w:rPr>
      </w:pPr>
    </w:p>
    <w:p w14:paraId="487DDCCA">
      <w:pPr>
        <w:jc w:val="left"/>
        <w:rPr>
          <w:rFonts w:hint="eastAsia" w:ascii="宋体" w:hAnsi="宋体"/>
          <w:szCs w:val="28"/>
        </w:rPr>
      </w:pPr>
      <w:r>
        <w:rPr>
          <w:rFonts w:ascii="宋体" w:hAnsi="宋体"/>
          <w:szCs w:val="28"/>
        </w:rPr>
        <w:br w:type="page"/>
      </w:r>
    </w:p>
    <w:p w14:paraId="1F8BFC17">
      <w:pPr>
        <w:pStyle w:val="2"/>
        <w:jc w:val="center"/>
      </w:pPr>
      <w:bookmarkStart w:id="16" w:name="_Toc237510534"/>
      <w:r>
        <w:rPr>
          <w:rFonts w:hint="eastAsia"/>
        </w:rPr>
        <w:t>系统架构</w:t>
      </w:r>
      <w:bookmarkEnd w:id="16"/>
    </w:p>
    <w:p w14:paraId="5852B580">
      <w:pPr>
        <w:ind w:firstLine="480" w:firstLineChars="200"/>
        <w:rPr>
          <w:rStyle w:val="61"/>
          <w:b w:val="0"/>
          <w:bCs w:val="0"/>
        </w:rPr>
      </w:pPr>
      <w:r>
        <w:t xml:space="preserve">本章从硬件组成、软件功能划分、软件分层架构和总体运行流程四个角度说明系统架构。设计原则是将硬件访问、通讯服务、状态机和 HMI </w:t>
      </w:r>
      <w:r>
        <w:rPr>
          <w:rFonts w:hint="eastAsia"/>
        </w:rPr>
        <w:t>相结合</w:t>
      </w:r>
      <w:r>
        <w:t>，使 6 个进气模组复用同一套软件对象和控制函数。</w:t>
      </w:r>
    </w:p>
    <w:p w14:paraId="7809E3B6">
      <w:pPr>
        <w:pStyle w:val="3"/>
      </w:pPr>
      <w:bookmarkStart w:id="17" w:name="_Toc188631764"/>
      <w:bookmarkStart w:id="18" w:name="_Toc237510535"/>
      <w:r>
        <w:rPr>
          <w:rFonts w:hint="eastAsia"/>
        </w:rPr>
        <w:t>硬件</w:t>
      </w:r>
      <w:bookmarkEnd w:id="17"/>
      <w:r>
        <w:rPr>
          <w:rFonts w:hint="eastAsia"/>
        </w:rPr>
        <w:t>功能图</w:t>
      </w:r>
      <w:bookmarkEnd w:id="18"/>
    </w:p>
    <w:p w14:paraId="2E71B2C2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"硬件架构框图.vsdx"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Style w:val="29"/>
          <w:rFonts w:hint="eastAsia" w:ascii="宋体" w:hAnsi="宋体"/>
          <w:szCs w:val="28"/>
        </w:rPr>
        <w:t>硬件架构框图.vsdx</w:t>
      </w:r>
      <w:r>
        <w:rPr>
          <w:rFonts w:hint="eastAsia" w:ascii="宋体" w:hAnsi="宋体"/>
          <w:szCs w:val="28"/>
        </w:rPr>
        <w:fldChar w:fldCharType="end"/>
      </w:r>
    </w:p>
    <w:p w14:paraId="5AE376D8">
      <w:pPr>
        <w:pStyle w:val="3"/>
      </w:pPr>
      <w:bookmarkStart w:id="19" w:name="_Toc237510536"/>
      <w:bookmarkStart w:id="20" w:name="_Toc188631765"/>
      <w:r>
        <w:rPr>
          <w:rFonts w:hint="eastAsia"/>
        </w:rPr>
        <w:t>软件功能划分图</w:t>
      </w:r>
      <w:bookmarkEnd w:id="19"/>
      <w:bookmarkEnd w:id="20"/>
    </w:p>
    <w:p w14:paraId="6353296A">
      <w:pPr>
        <w:ind w:firstLine="480" w:firstLineChars="200"/>
        <w:jc w:val="left"/>
        <w:rPr>
          <w:rFonts w:hint="eastAsia" w:ascii="宋体" w:hAnsi="宋体"/>
          <w:szCs w:val="28"/>
        </w:rPr>
      </w:pPr>
      <w:r>
        <w:rPr>
          <w:rFonts w:hint="eastAsia" w:ascii="宋体" w:hAnsi="宋体"/>
          <w:szCs w:val="28"/>
        </w:rPr>
        <w:t>详见</w:t>
      </w:r>
      <w:r>
        <w:rPr>
          <w:rFonts w:hint="eastAsia" w:ascii="宋体" w:hAnsi="宋体"/>
          <w:szCs w:val="28"/>
        </w:rPr>
        <w:fldChar w:fldCharType="begin"/>
      </w:r>
      <w:r>
        <w:rPr>
          <w:rFonts w:hint="eastAsia" w:ascii="宋体" w:hAnsi="宋体"/>
          <w:szCs w:val="28"/>
        </w:rPr>
        <w:instrText xml:space="preserve"> HYPERLINK "主板软件架构图.xmind" </w:instrText>
      </w:r>
      <w:r>
        <w:rPr>
          <w:rFonts w:hint="eastAsia" w:ascii="宋体" w:hAnsi="宋体"/>
          <w:szCs w:val="28"/>
        </w:rPr>
        <w:fldChar w:fldCharType="separate"/>
      </w:r>
      <w:r>
        <w:rPr>
          <w:rStyle w:val="29"/>
          <w:rFonts w:hint="eastAsia" w:ascii="宋体" w:hAnsi="宋体"/>
          <w:szCs w:val="28"/>
        </w:rPr>
        <w:t>主板软件架构图.xmind</w:t>
      </w:r>
      <w:r>
        <w:rPr>
          <w:rFonts w:hint="eastAsia" w:ascii="宋体" w:hAnsi="宋体"/>
          <w:szCs w:val="28"/>
        </w:rPr>
        <w:fldChar w:fldCharType="end"/>
      </w:r>
      <w:bookmarkStart w:id="39" w:name="_GoBack"/>
      <w:bookmarkEnd w:id="39"/>
    </w:p>
    <w:p w14:paraId="0868A566">
      <w:pPr>
        <w:pStyle w:val="3"/>
      </w:pPr>
      <w:bookmarkStart w:id="21" w:name="_Toc188631766"/>
      <w:bookmarkStart w:id="22" w:name="_Toc237510537"/>
      <w:r>
        <w:rPr>
          <w:rFonts w:hint="eastAsia"/>
        </w:rPr>
        <w:t>软件架构图</w:t>
      </w:r>
      <w:bookmarkEnd w:id="21"/>
      <w:bookmarkEnd w:id="22"/>
    </w:p>
    <w:p w14:paraId="319DDE05">
      <w:pPr>
        <w:ind w:firstLine="420"/>
        <w:jc w:val="left"/>
        <w:rPr>
          <w:rFonts w:hint="eastAsia" w:ascii="宋体" w:hAnsi="宋体" w:eastAsia="宋体"/>
          <w:szCs w:val="28"/>
          <w:lang w:val="en-US" w:eastAsia="zh-CN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"软件架构图.xmind"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9"/>
          <w:rFonts w:hint="eastAsia" w:ascii="宋体" w:hAnsi="宋体"/>
          <w:szCs w:val="28"/>
          <w:lang w:val="en-US" w:eastAsia="zh-CN"/>
        </w:rPr>
        <w:t>软件架构图.xmind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</w:p>
    <w:p w14:paraId="105B46DA">
      <w:pPr>
        <w:pStyle w:val="3"/>
      </w:pPr>
      <w:bookmarkStart w:id="23" w:name="_Toc188631767"/>
      <w:bookmarkStart w:id="24" w:name="_Toc237510538"/>
      <w:r>
        <w:rPr>
          <w:rFonts w:hint="eastAsia"/>
        </w:rPr>
        <w:t>软件运行流程图</w:t>
      </w:r>
      <w:bookmarkEnd w:id="23"/>
      <w:bookmarkEnd w:id="24"/>
    </w:p>
    <w:p w14:paraId="18B9D54A">
      <w:pPr>
        <w:ind w:firstLine="480" w:firstLineChars="200"/>
        <w:jc w:val="both"/>
        <w:rPr>
          <w:rStyle w:val="61"/>
        </w:rPr>
      </w:pPr>
      <w:r>
        <w:rPr>
          <w:rFonts w:hint="eastAsia" w:ascii="宋体" w:hAnsi="宋体"/>
          <w:szCs w:val="28"/>
          <w:lang w:val="en-US" w:eastAsia="zh-CN"/>
        </w:rPr>
        <w:t>详见</w:t>
      </w:r>
      <w:r>
        <w:rPr>
          <w:rFonts w:hint="eastAsia" w:ascii="宋体" w:hAnsi="宋体"/>
          <w:szCs w:val="28"/>
          <w:lang w:val="en-US" w:eastAsia="zh-CN"/>
        </w:rPr>
        <w:fldChar w:fldCharType="begin"/>
      </w:r>
      <w:r>
        <w:rPr>
          <w:rFonts w:hint="eastAsia" w:ascii="宋体" w:hAnsi="宋体"/>
          <w:szCs w:val="28"/>
          <w:lang w:val="en-US" w:eastAsia="zh-CN"/>
        </w:rPr>
        <w:instrText xml:space="preserve"> HYPERLINK "主板软件运行流程.vsdx" </w:instrText>
      </w:r>
      <w:r>
        <w:rPr>
          <w:rFonts w:hint="eastAsia" w:ascii="宋体" w:hAnsi="宋体"/>
          <w:szCs w:val="28"/>
          <w:lang w:val="en-US" w:eastAsia="zh-CN"/>
        </w:rPr>
        <w:fldChar w:fldCharType="separate"/>
      </w:r>
      <w:r>
        <w:rPr>
          <w:rStyle w:val="28"/>
          <w:rFonts w:hint="eastAsia" w:ascii="宋体" w:hAnsi="宋体"/>
          <w:szCs w:val="28"/>
          <w:lang w:val="en-US" w:eastAsia="zh-CN"/>
        </w:rPr>
        <w:t>主板软件运行流程.vsdx</w:t>
      </w:r>
      <w:r>
        <w:rPr>
          <w:rFonts w:hint="eastAsia" w:ascii="宋体" w:hAnsi="宋体"/>
          <w:szCs w:val="28"/>
          <w:lang w:val="en-US" w:eastAsia="zh-CN"/>
        </w:rPr>
        <w:fldChar w:fldCharType="end"/>
      </w:r>
      <w:r>
        <w:rPr>
          <w:rFonts w:hint="eastAsia" w:ascii="宋体" w:hAnsi="宋体"/>
          <w:szCs w:val="28"/>
        </w:rPr>
        <w:br w:type="page"/>
      </w:r>
    </w:p>
    <w:p w14:paraId="2C384549">
      <w:pPr>
        <w:pStyle w:val="2"/>
        <w:jc w:val="center"/>
      </w:pPr>
      <w:bookmarkStart w:id="25" w:name="_Toc237510539"/>
      <w:r>
        <w:rPr>
          <w:rFonts w:hint="eastAsia"/>
        </w:rPr>
        <w:t>模块功能详细设计</w:t>
      </w:r>
      <w:bookmarkEnd w:id="25"/>
    </w:p>
    <w:p w14:paraId="05C6CD5A">
      <w:pPr>
        <w:pStyle w:val="3"/>
      </w:pPr>
      <w:bookmarkStart w:id="26" w:name="_Toc237510540"/>
      <w:r>
        <w:rPr>
          <w:rFonts w:hint="eastAsia"/>
        </w:rPr>
        <w:t>串口屏功能模块</w:t>
      </w:r>
      <w:bookmarkEnd w:id="26"/>
    </w:p>
    <w:p w14:paraId="36C0A247">
      <w:pPr>
        <w:pStyle w:val="4"/>
        <w:ind w:left="240" w:leftChars="0" w:firstLineChars="0"/>
      </w:pPr>
      <w:bookmarkStart w:id="27" w:name="_Toc237510541"/>
      <w:r>
        <w:rPr>
          <w:rFonts w:hint="eastAsia"/>
        </w:rPr>
        <w:t>硬件</w:t>
      </w:r>
      <w:bookmarkEnd w:id="27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3BF2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71E5A8F">
            <w:pPr>
              <w:tabs>
                <w:tab w:val="center" w:pos="728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名称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8589" w:type="dxa"/>
          </w:tcPr>
          <w:p w14:paraId="0284CE7C">
            <w:r>
              <w:rPr>
                <w:rFonts w:hint="eastAsia"/>
              </w:rPr>
              <w:t>描述</w:t>
            </w:r>
          </w:p>
        </w:tc>
      </w:tr>
      <w:tr w14:paraId="49F0B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161B9AC">
            <w:r>
              <w:rPr>
                <w:rFonts w:hint="eastAsia"/>
              </w:rPr>
              <w:t>MCU-UART</w:t>
            </w:r>
          </w:p>
        </w:tc>
        <w:tc>
          <w:tcPr>
            <w:tcW w:w="8589" w:type="dxa"/>
          </w:tcPr>
          <w:p w14:paraId="2D1CEE5A">
            <w:r>
              <w:rPr>
                <w:rFonts w:hint="eastAsia"/>
              </w:rPr>
              <w:t>波特率115200 通道号9</w:t>
            </w:r>
          </w:p>
        </w:tc>
      </w:tr>
      <w:tr w14:paraId="506B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2C17986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35FE1F2">
            <w:r>
              <w:rPr>
                <w:rFonts w:hint="eastAsia"/>
              </w:rPr>
              <w:t>显示使能DIS_EN  显示供电DIS_POWER</w:t>
            </w:r>
          </w:p>
        </w:tc>
      </w:tr>
    </w:tbl>
    <w:p w14:paraId="548BB198"/>
    <w:p w14:paraId="2501A075">
      <w:pPr>
        <w:pStyle w:val="4"/>
        <w:ind w:left="240" w:leftChars="0" w:firstLineChars="0"/>
        <w:rPr>
          <w:rFonts w:hint="eastAsia" w:eastAsia="宋体"/>
          <w:lang w:eastAsia="zh-CN"/>
        </w:rPr>
      </w:pPr>
      <w:bookmarkStart w:id="28" w:name="_Toc237510542"/>
      <w:r>
        <w:rPr>
          <w:rFonts w:hint="eastAsia"/>
        </w:rPr>
        <w:t>软件</w:t>
      </w:r>
      <w:bookmarkEnd w:id="28"/>
    </w:p>
    <w:p w14:paraId="4D961FE3">
      <w:pPr>
        <w:ind w:firstLine="48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详细见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"界面.vsdx"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8"/>
          <w:rFonts w:hint="eastAsia"/>
          <w:lang w:val="en-US" w:eastAsia="zh-CN"/>
        </w:rPr>
        <w:t>界面.vsdx</w:t>
      </w:r>
      <w:r>
        <w:rPr>
          <w:rFonts w:hint="eastAsia"/>
          <w:lang w:val="en-US" w:eastAsia="zh-CN"/>
        </w:rPr>
        <w:fldChar w:fldCharType="end"/>
      </w:r>
    </w:p>
    <w:p w14:paraId="41A8ACE3">
      <w:pPr>
        <w:spacing w:after="120"/>
        <w:ind w:firstLine="420"/>
        <w:rPr>
          <w:rFonts w:hint="eastAsia"/>
        </w:rPr>
      </w:pPr>
      <w:r>
        <w:rPr>
          <w:rFonts w:hint="eastAsia"/>
        </w:rPr>
        <w:t>本模块负责显示六只气瓶的压力、气瓶状态、当前工作瓶、</w:t>
      </w:r>
      <w:r>
        <w:rPr>
          <w:rFonts w:hint="eastAsia"/>
          <w:lang w:val="en-US" w:eastAsia="zh-CN"/>
        </w:rPr>
        <w:t>阀门状态，放气</w:t>
      </w:r>
      <w:r>
        <w:rPr>
          <w:rFonts w:hint="eastAsia"/>
        </w:rPr>
        <w:t>阀输出命令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并将工作人员操作转换为气源控制应用层可以处理的业务请求。显示模块不得直接读写阀门GPIO，也不得绕过应用层状态机。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674C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250CCA9F">
            <w:pPr>
              <w:tabs>
                <w:tab w:val="center" w:pos="728"/>
              </w:tabs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界面对象</w:t>
            </w:r>
          </w:p>
        </w:tc>
        <w:tc>
          <w:tcPr>
            <w:tcW w:w="8589" w:type="dxa"/>
          </w:tcPr>
          <w:p w14:paraId="4E6CA356">
            <w:r>
              <w:rPr>
                <w:rFonts w:hint="eastAsia"/>
              </w:rPr>
              <w:t>显示或操作要求</w:t>
            </w:r>
          </w:p>
        </w:tc>
      </w:tr>
      <w:tr w14:paraId="590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D1F907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气瓶压力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507AB492">
            <w:r>
              <w:rPr>
                <w:rFonts w:hint="eastAsia"/>
              </w:rPr>
              <w:t>显示1～6号瓶压力，单位MPa；无效或陈旧数据不得显示为0，应显示“无效”或“通信异常”。</w:t>
            </w:r>
          </w:p>
        </w:tc>
      </w:tr>
      <w:tr w14:paraId="54EB9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F42749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气瓶状态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2EAFF577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  <w:lang w:val="en-US" w:eastAsia="zh-CN"/>
              </w:rPr>
              <w:t>初始化、待用、使用中、停用、低压警告、低压待换</w:t>
            </w:r>
          </w:p>
        </w:tc>
      </w:tr>
      <w:tr w14:paraId="6825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DB9C8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阀门状态</w:t>
            </w:r>
            <w:r>
              <w:rPr>
                <w:rFonts w:hint="eastAsia"/>
                <w:lang w:val="en-US" w:eastAsia="zh-CN"/>
              </w:rPr>
              <w:t>显示</w:t>
            </w:r>
          </w:p>
        </w:tc>
        <w:tc>
          <w:tcPr>
            <w:tcW w:w="8589" w:type="dxa"/>
          </w:tcPr>
          <w:p w14:paraId="73C02EC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显示开关</w:t>
            </w:r>
          </w:p>
        </w:tc>
      </w:tr>
      <w:tr w14:paraId="164B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C48620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测试通过按键</w:t>
            </w:r>
          </w:p>
        </w:tc>
        <w:tc>
          <w:tcPr>
            <w:tcW w:w="8589" w:type="dxa"/>
          </w:tcPr>
          <w:p w14:paraId="5BEE0B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通过测试后，可以从初始化和低压待换状态进入待用状态</w:t>
            </w:r>
          </w:p>
        </w:tc>
      </w:tr>
      <w:tr w14:paraId="0D15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8B3EFC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排气阀开关控制</w:t>
            </w:r>
          </w:p>
        </w:tc>
        <w:tc>
          <w:tcPr>
            <w:tcW w:w="8589" w:type="dxa"/>
          </w:tcPr>
          <w:p w14:paraId="4EAEDA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排气除初始化、使用、低压警告状态下都可以使用</w:t>
            </w:r>
            <w:r>
              <w:rPr>
                <w:rFonts w:hint="eastAsia"/>
              </w:rPr>
              <w:t>；排气阀打开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s并显示倒计时。</w:t>
            </w:r>
          </w:p>
        </w:tc>
      </w:tr>
      <w:tr w14:paraId="55FC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58EFE5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测试阀开关控制</w:t>
            </w:r>
          </w:p>
        </w:tc>
        <w:tc>
          <w:tcPr>
            <w:tcW w:w="8589" w:type="dxa"/>
          </w:tcPr>
          <w:p w14:paraId="31B3FAE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供气阀关闭、压力有效允许执行，打开后可直接执行，时间不做要求，由操作人员控制，并提供时间计时。</w:t>
            </w:r>
          </w:p>
        </w:tc>
      </w:tr>
      <w:tr w14:paraId="141C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936CC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停用按键</w:t>
            </w:r>
          </w:p>
        </w:tc>
        <w:tc>
          <w:tcPr>
            <w:tcW w:w="8589" w:type="dxa"/>
          </w:tcPr>
          <w:p w14:paraId="1F8E8DD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控制气瓶进入停用状态</w:t>
            </w:r>
          </w:p>
        </w:tc>
      </w:tr>
    </w:tbl>
    <w:p w14:paraId="7761717A">
      <w:pPr>
        <w:rPr>
          <w:rFonts w:hint="eastAsia"/>
        </w:rPr>
      </w:pPr>
    </w:p>
    <w:p w14:paraId="5F3AB2EE">
      <w:pPr>
        <w:pStyle w:val="3"/>
      </w:pPr>
      <w:bookmarkStart w:id="29" w:name="_Toc237510543"/>
      <w:r>
        <w:rPr>
          <w:rFonts w:hint="eastAsia"/>
        </w:rPr>
        <w:t>气压传感器通讯模块</w:t>
      </w:r>
      <w:bookmarkEnd w:id="29"/>
    </w:p>
    <w:p w14:paraId="69EF3950">
      <w:pPr>
        <w:pStyle w:val="4"/>
        <w:ind w:left="240" w:leftChars="0" w:firstLineChars="0"/>
      </w:pPr>
      <w:bookmarkStart w:id="30" w:name="_Toc237510544"/>
      <w:r>
        <w:rPr>
          <w:rFonts w:hint="eastAsia"/>
        </w:rPr>
        <w:t>硬件</w:t>
      </w:r>
      <w:bookmarkEnd w:id="30"/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6E4E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19769EA3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76B08E41">
            <w:r>
              <w:rPr>
                <w:rFonts w:hint="eastAsia"/>
              </w:rPr>
              <w:t>描述</w:t>
            </w:r>
          </w:p>
        </w:tc>
      </w:tr>
      <w:tr w14:paraId="5F01B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EB5C1E1">
            <w:r>
              <w:rPr>
                <w:rFonts w:hint="eastAsia"/>
              </w:rPr>
              <w:t>MCU-UART</w:t>
            </w:r>
          </w:p>
        </w:tc>
        <w:tc>
          <w:tcPr>
            <w:tcW w:w="8589" w:type="dxa"/>
          </w:tcPr>
          <w:p w14:paraId="2DDBA9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波特率 9600 </w:t>
            </w:r>
            <w:r>
              <w:rPr>
                <w:rFonts w:hint="eastAsia"/>
                <w:lang w:val="en-US" w:eastAsia="zh-CN"/>
              </w:rPr>
              <w:t xml:space="preserve"> SCI1</w:t>
            </w:r>
          </w:p>
        </w:tc>
      </w:tr>
      <w:tr w14:paraId="2DB2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60EBC283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4F91F6B4">
            <w:r>
              <w:rPr>
                <w:rFonts w:hint="eastAsia"/>
              </w:rPr>
              <w:t>使能PRE_EN  匹配电阻PRE_RES</w:t>
            </w:r>
          </w:p>
        </w:tc>
      </w:tr>
    </w:tbl>
    <w:p w14:paraId="275F7E62">
      <w:pPr>
        <w:pStyle w:val="4"/>
        <w:ind w:left="240" w:leftChars="0" w:firstLineChars="0"/>
      </w:pPr>
      <w:bookmarkStart w:id="31" w:name="_Toc237510545"/>
      <w:r>
        <w:rPr>
          <w:rFonts w:hint="eastAsia"/>
        </w:rPr>
        <w:t>软件</w:t>
      </w:r>
      <w:bookmarkEnd w:id="31"/>
    </w:p>
    <w:p w14:paraId="4D5C5144">
      <w:pPr>
        <w:spacing w:after="120"/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读取1号传感器的请求示例为“01 04 00 00 00 02 71 CB”。正常响应共9字节，其中4字节数据按ABCD顺序组合为浮点数。例如数据3F C0 00 00转换为1.5 MPa。通信超时或数据无效不得等同于压力为0，也不得直接触发自动切瓶。</w:t>
      </w:r>
      <w:r>
        <w:rPr>
          <w:rFonts w:hint="eastAsia"/>
          <w:lang w:val="en-US" w:eastAsia="zh-CN"/>
        </w:rPr>
        <w:t>其他参数由后续寄存器表获取（李锋提供）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4547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5804A3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75AB3CC6">
            <w:r>
              <w:rPr>
                <w:rFonts w:hint="eastAsia"/>
              </w:rPr>
              <w:t>描述</w:t>
            </w:r>
          </w:p>
        </w:tc>
      </w:tr>
      <w:tr w14:paraId="329B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A30139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数据协议</w:t>
            </w:r>
          </w:p>
        </w:tc>
        <w:tc>
          <w:tcPr>
            <w:tcW w:w="8447" w:type="dxa"/>
          </w:tcPr>
          <w:p w14:paraId="035F2A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物理层RS485 应用层modbus</w:t>
            </w:r>
          </w:p>
        </w:tc>
      </w:tr>
      <w:tr w14:paraId="519A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F0422B0">
            <w:r>
              <w:rPr>
                <w:rFonts w:hint="eastAsia"/>
              </w:rPr>
              <w:t>数据帧格式</w:t>
            </w:r>
          </w:p>
        </w:tc>
        <w:tc>
          <w:tcPr>
            <w:tcW w:w="8447" w:type="dxa"/>
          </w:tcPr>
          <w:p w14:paraId="3CB39CFE">
            <w:r>
              <w:rPr>
                <w:rFonts w:hint="eastAsia"/>
              </w:rPr>
              <w:t>8N1</w:t>
            </w:r>
          </w:p>
        </w:tc>
      </w:tr>
      <w:tr w14:paraId="230C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33B5FAC">
            <w:r>
              <w:rPr>
                <w:rFonts w:hint="eastAsia"/>
              </w:rPr>
              <w:t>数据格式</w:t>
            </w:r>
          </w:p>
        </w:tc>
        <w:tc>
          <w:tcPr>
            <w:tcW w:w="8447" w:type="dxa"/>
          </w:tcPr>
          <w:p w14:paraId="07D21F6E">
            <w:r>
              <w:rPr>
                <w:rFonts w:hint="eastAsia"/>
              </w:rPr>
              <w:t>32位浮点数</w:t>
            </w:r>
          </w:p>
        </w:tc>
      </w:tr>
      <w:tr w14:paraId="124DC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31860DBB">
            <w:r>
              <w:rPr>
                <w:rFonts w:hint="eastAsia"/>
              </w:rPr>
              <w:t>转换方式</w:t>
            </w:r>
          </w:p>
        </w:tc>
        <w:tc>
          <w:tcPr>
            <w:tcW w:w="8447" w:type="dxa"/>
          </w:tcPr>
          <w:p w14:paraId="7EC979AD">
            <w:r>
              <w:rPr>
                <w:rFonts w:hint="eastAsia"/>
              </w:rPr>
              <w:t>Float AB CD</w:t>
            </w:r>
          </w:p>
        </w:tc>
      </w:tr>
      <w:tr w14:paraId="7AAA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4D7C05C9">
            <w:r>
              <w:rPr>
                <w:rFonts w:hint="eastAsia"/>
              </w:rPr>
              <w:t>功能码</w:t>
            </w:r>
          </w:p>
        </w:tc>
        <w:tc>
          <w:tcPr>
            <w:tcW w:w="8447" w:type="dxa"/>
          </w:tcPr>
          <w:p w14:paraId="29F6C331">
            <w:r>
              <w:rPr>
                <w:rFonts w:hint="eastAsia"/>
              </w:rPr>
              <w:t>04</w:t>
            </w:r>
          </w:p>
        </w:tc>
      </w:tr>
      <w:tr w14:paraId="299B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0C49A658">
            <w:r>
              <w:rPr>
                <w:rFonts w:hint="eastAsia"/>
              </w:rPr>
              <w:t>设备码</w:t>
            </w:r>
          </w:p>
        </w:tc>
        <w:tc>
          <w:tcPr>
            <w:tcW w:w="8447" w:type="dxa"/>
          </w:tcPr>
          <w:p w14:paraId="007F2AD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一号瓶代表01   二号瓶代表02    三号瓶代表03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四号瓶代表04   五号瓶代表05    六号瓶代表06    总压力传感器07</w:t>
            </w:r>
          </w:p>
        </w:tc>
      </w:tr>
      <w:tr w14:paraId="65C6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6E22FE03">
            <w:pPr>
              <w:rPr>
                <w:rFonts w:hint="eastAsia"/>
              </w:rPr>
            </w:pPr>
            <w:bookmarkStart w:id="32" w:name="_Toc237510546"/>
            <w:r>
              <w:rPr>
                <w:rFonts w:hint="eastAsia"/>
              </w:rPr>
              <w:t>压力单位</w:t>
            </w:r>
          </w:p>
        </w:tc>
        <w:tc>
          <w:tcPr>
            <w:tcW w:w="8447" w:type="dxa"/>
          </w:tcPr>
          <w:p w14:paraId="2F75944D">
            <w:pPr>
              <w:rPr>
                <w:rFonts w:hint="eastAsia"/>
              </w:rPr>
            </w:pPr>
            <w:r>
              <w:rPr>
                <w:rFonts w:hint="eastAsia"/>
              </w:rPr>
              <w:t>MPa</w:t>
            </w:r>
          </w:p>
        </w:tc>
      </w:tr>
    </w:tbl>
    <w:p w14:paraId="3B353DF8">
      <w:pPr>
        <w:pStyle w:val="3"/>
        <w:rPr>
          <w:rFonts w:hint="eastAsia"/>
          <w:lang w:val="en-US" w:eastAsia="zh-CN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存储模块</w:t>
      </w:r>
    </w:p>
    <w:p w14:paraId="3C26808D">
      <w:pPr>
        <w:pStyle w:val="4"/>
      </w:pPr>
      <w:r>
        <w:rPr>
          <w:rFonts w:hint="eastAsia"/>
          <w:lang w:val="en-US" w:eastAsia="zh-CN"/>
        </w:rPr>
        <w:t>硬件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7F82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634EE312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549E7901">
            <w:r>
              <w:rPr>
                <w:rFonts w:hint="eastAsia"/>
              </w:rPr>
              <w:t>描述</w:t>
            </w:r>
          </w:p>
        </w:tc>
      </w:tr>
      <w:tr w14:paraId="63ADA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25DEFE1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MCU-</w:t>
            </w:r>
            <w:r>
              <w:rPr>
                <w:rFonts w:hint="eastAsia"/>
                <w:lang w:val="en-US" w:eastAsia="zh-CN"/>
              </w:rPr>
              <w:t>IO</w:t>
            </w:r>
          </w:p>
        </w:tc>
        <w:tc>
          <w:tcPr>
            <w:tcW w:w="8589" w:type="dxa"/>
          </w:tcPr>
          <w:p w14:paraId="044AA57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24C_SDA  24C_SCL  24C_WP</w:t>
            </w:r>
          </w:p>
        </w:tc>
      </w:tr>
      <w:tr w14:paraId="21C8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092462B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24C256</w:t>
            </w:r>
          </w:p>
        </w:tc>
        <w:tc>
          <w:tcPr>
            <w:tcW w:w="8589" w:type="dxa"/>
          </w:tcPr>
          <w:p w14:paraId="2ED6B63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内存32KB的EEPROM</w:t>
            </w:r>
          </w:p>
        </w:tc>
      </w:tr>
    </w:tbl>
    <w:p w14:paraId="2E549E75"/>
    <w:p w14:paraId="5444B58E">
      <w:pPr>
        <w:pStyle w:val="4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存储方案</w:t>
      </w:r>
    </w:p>
    <w:p w14:paraId="1FF7F2EC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由于本工程采用的方案存储硬件是AT24C256，该存储器件存在容量小的局限性，32KB的容量对于大量日志事件和压力数据的存储显然不够，所以该工程采用方案如下：</w:t>
      </w:r>
    </w:p>
    <w:p w14:paraId="10E3A747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EEPROM中不直接保存中文字符，而是保存紧凑的时间码和数据，读取出来后再转换成中文日志。</w:t>
      </w:r>
    </w:p>
    <w:p w14:paraId="0416075F">
      <w:pPr>
        <w:spacing w:after="12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存储事项：常规存储（数据存储），按周期固定触发</w:t>
      </w:r>
    </w:p>
    <w:p w14:paraId="749B4F10">
      <w:pPr>
        <w:spacing w:after="12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事件存储（日志功能），按照事件发生触发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962"/>
        <w:gridCol w:w="963"/>
        <w:gridCol w:w="6664"/>
      </w:tblGrid>
      <w:tr w14:paraId="4381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3AB3987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偏移</w:t>
            </w:r>
          </w:p>
        </w:tc>
        <w:tc>
          <w:tcPr>
            <w:tcW w:w="962" w:type="dxa"/>
          </w:tcPr>
          <w:p w14:paraId="27DB147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963" w:type="dxa"/>
          </w:tcPr>
          <w:p w14:paraId="29C94B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6664" w:type="dxa"/>
          </w:tcPr>
          <w:p w14:paraId="31DE952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0D00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3619E0F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0~5</w:t>
            </w:r>
          </w:p>
        </w:tc>
        <w:tc>
          <w:tcPr>
            <w:tcW w:w="962" w:type="dxa"/>
          </w:tcPr>
          <w:p w14:paraId="228F4C5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963" w:type="dxa"/>
          </w:tcPr>
          <w:p w14:paraId="03CA43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6664" w:type="dxa"/>
          </w:tcPr>
          <w:p w14:paraId="5973ED5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通过串口屏获取年月日时分秒</w:t>
            </w:r>
          </w:p>
        </w:tc>
      </w:tr>
      <w:tr w14:paraId="5853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4F82309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962" w:type="dxa"/>
          </w:tcPr>
          <w:p w14:paraId="3735DA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963" w:type="dxa"/>
          </w:tcPr>
          <w:p w14:paraId="32DD51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664" w:type="dxa"/>
          </w:tcPr>
          <w:p w14:paraId="371162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分为常规记录（半小时一次），时间记录：发生换瓶等操作</w:t>
            </w:r>
          </w:p>
        </w:tc>
      </w:tr>
      <w:tr w14:paraId="3B803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8498F3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7~18</w:t>
            </w:r>
          </w:p>
        </w:tc>
        <w:tc>
          <w:tcPr>
            <w:tcW w:w="962" w:type="dxa"/>
          </w:tcPr>
          <w:p w14:paraId="41C0FA2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六阀门压力值</w:t>
            </w:r>
          </w:p>
        </w:tc>
        <w:tc>
          <w:tcPr>
            <w:tcW w:w="963" w:type="dxa"/>
          </w:tcPr>
          <w:p w14:paraId="7E3E972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6664" w:type="dxa"/>
          </w:tcPr>
          <w:p w14:paraId="542B3670">
            <w:pPr>
              <w:pStyle w:val="20"/>
              <w:keepNext w:val="0"/>
              <w:keepLines w:val="0"/>
              <w:widowControl/>
              <w:suppressLineNumbers w:val="0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通过将浮点数乘100的方式，压力存储值 = 压力MPa × 100，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使用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uint16_t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保存，分辨率为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0.01 MPa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。六瓶压力只需要12字节，而六个 </w:t>
            </w:r>
            <w:r>
              <w:rPr>
                <w:rStyle w:val="30"/>
                <w:rFonts w:ascii="宋体" w:hAnsi="宋体" w:eastAsia="宋体" w:cs="宋体"/>
                <w:sz w:val="24"/>
                <w:szCs w:val="24"/>
              </w:rPr>
              <w:t>float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需要24字节。</w:t>
            </w:r>
          </w:p>
        </w:tc>
      </w:tr>
      <w:tr w14:paraId="711F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7D4FC8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962" w:type="dxa"/>
          </w:tcPr>
          <w:p w14:paraId="5180F8B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瓶号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&amp;事件</w:t>
            </w:r>
          </w:p>
        </w:tc>
        <w:tc>
          <w:tcPr>
            <w:tcW w:w="963" w:type="dxa"/>
          </w:tcPr>
          <w:p w14:paraId="5C97745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664" w:type="dxa"/>
          </w:tcPr>
          <w:p w14:paraId="6E30D27D">
            <w:pPr>
              <w:pStyle w:val="20"/>
              <w:keepNext w:val="0"/>
              <w:keepLines w:val="0"/>
              <w:widowControl/>
              <w:suppressLineNumbers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比如0101代表一号瓶压力不足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0102代表一号瓶被替换</w:t>
            </w:r>
          </w:p>
        </w:tc>
      </w:tr>
    </w:tbl>
    <w:p w14:paraId="0C0773D5">
      <w:pPr>
        <w:spacing w:after="120"/>
        <w:ind w:firstLine="420"/>
        <w:rPr>
          <w:rFonts w:hint="default"/>
          <w:lang w:val="en-US" w:eastAsia="zh-CN"/>
        </w:rPr>
      </w:pPr>
    </w:p>
    <w:p w14:paraId="0EA1F637">
      <w:pPr>
        <w:pStyle w:val="3"/>
      </w:pPr>
      <w:r>
        <w:rPr>
          <w:rFonts w:hint="eastAsia"/>
        </w:rPr>
        <w:t>外部通讯模块</w:t>
      </w:r>
      <w:bookmarkEnd w:id="32"/>
    </w:p>
    <w:p w14:paraId="3A1409EA">
      <w:pPr>
        <w:pStyle w:val="4"/>
      </w:pPr>
      <w:bookmarkStart w:id="33" w:name="_Toc237510548"/>
      <w:r>
        <w:rPr>
          <w:rFonts w:hint="eastAsia"/>
          <w:lang w:val="en-US" w:eastAsia="zh-CN"/>
        </w:rPr>
        <w:t>硬件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2B07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5" w:type="dxa"/>
          </w:tcPr>
          <w:p w14:paraId="2AEB64B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39735654">
            <w:r>
              <w:rPr>
                <w:rFonts w:hint="eastAsia"/>
              </w:rPr>
              <w:t>描述</w:t>
            </w:r>
          </w:p>
        </w:tc>
      </w:tr>
      <w:tr w14:paraId="4B44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58B714D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MCU-IO</w:t>
            </w:r>
          </w:p>
        </w:tc>
        <w:tc>
          <w:tcPr>
            <w:tcW w:w="8447" w:type="dxa"/>
          </w:tcPr>
          <w:p w14:paraId="13B0C82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P102-CAN_RXD0  P103-CAN_TXD0</w:t>
            </w:r>
          </w:p>
        </w:tc>
      </w:tr>
    </w:tbl>
    <w:p w14:paraId="5FF6B77B"/>
    <w:p w14:paraId="0DE1C23C">
      <w:pPr>
        <w:pStyle w:val="4"/>
        <w:ind w:left="240" w:leftChars="0" w:firstLineChars="0"/>
      </w:pPr>
      <w:r>
        <w:rPr>
          <w:rFonts w:hint="eastAsia"/>
        </w:rPr>
        <w:t>软件</w:t>
      </w:r>
      <w:bookmarkEnd w:id="33"/>
    </w:p>
    <w:p w14:paraId="7E555835">
      <w:pPr>
        <w:spacing w:after="120"/>
        <w:ind w:firstLine="420"/>
        <w:rPr>
          <w:rFonts w:hint="eastAsia"/>
        </w:rPr>
      </w:pPr>
      <w:r>
        <w:rPr>
          <w:rFonts w:hint="eastAsia"/>
        </w:rPr>
        <w:t>外部通信接口用于向上位机或中控系统提供气瓶压力、状态、阀门命令，并接收启动、停止、换瓶确认及开始排气等业务请求。</w:t>
      </w:r>
    </w:p>
    <w:p w14:paraId="042530CF"/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8447"/>
      </w:tblGrid>
      <w:tr w14:paraId="208A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5" w:type="dxa"/>
          </w:tcPr>
          <w:p w14:paraId="28E52D13">
            <w:r>
              <w:rPr>
                <w:rFonts w:hint="eastAsia"/>
              </w:rPr>
              <w:t>名称</w:t>
            </w:r>
          </w:p>
        </w:tc>
        <w:tc>
          <w:tcPr>
            <w:tcW w:w="8447" w:type="dxa"/>
          </w:tcPr>
          <w:p w14:paraId="7AFEEAFF">
            <w:r>
              <w:rPr>
                <w:rFonts w:hint="eastAsia"/>
              </w:rPr>
              <w:t>描述</w:t>
            </w:r>
          </w:p>
        </w:tc>
      </w:tr>
      <w:tr w14:paraId="7F7D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86B670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</w:t>
            </w:r>
          </w:p>
        </w:tc>
        <w:tc>
          <w:tcPr>
            <w:tcW w:w="8447" w:type="dxa"/>
          </w:tcPr>
          <w:p w14:paraId="61488F8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CAN通讯</w:t>
            </w:r>
          </w:p>
        </w:tc>
      </w:tr>
      <w:tr w14:paraId="617C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 w14:paraId="1E589854">
            <w:pPr>
              <w:rPr>
                <w:rFonts w:hint="default"/>
                <w:lang w:val="en-US" w:eastAsia="zh-CN"/>
              </w:rPr>
            </w:pPr>
            <w:bookmarkStart w:id="34" w:name="_Toc237510549"/>
            <w:r>
              <w:rPr>
                <w:rFonts w:hint="eastAsia"/>
                <w:lang w:val="en-US" w:eastAsia="zh-CN"/>
              </w:rPr>
              <w:t>波特率</w:t>
            </w:r>
          </w:p>
        </w:tc>
        <w:tc>
          <w:tcPr>
            <w:tcW w:w="8447" w:type="dxa"/>
          </w:tcPr>
          <w:p w14:paraId="6AB79B5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9600</w:t>
            </w:r>
          </w:p>
        </w:tc>
      </w:tr>
    </w:tbl>
    <w:p w14:paraId="6FB99A5B">
      <w:pPr>
        <w:pStyle w:val="3"/>
      </w:pPr>
      <w:r>
        <w:rPr>
          <w:rFonts w:hint="eastAsia"/>
          <w:lang w:val="en-US" w:eastAsia="zh-CN"/>
        </w:rPr>
        <w:t>气瓶状态管理</w:t>
      </w:r>
    </w:p>
    <w:p w14:paraId="436483B1">
      <w:pPr>
        <w:pStyle w:val="4"/>
        <w:ind w:left="240" w:leftChars="0" w:firstLineChars="0"/>
      </w:pPr>
      <w:r>
        <w:rPr>
          <w:rFonts w:hint="eastAsia"/>
          <w:lang w:val="en-US" w:eastAsia="zh-CN"/>
        </w:rPr>
        <w:t>状态定义</w:t>
      </w:r>
    </w:p>
    <w:tbl>
      <w:tblPr>
        <w:tblStyle w:val="23"/>
        <w:tblW w:w="10275" w:type="dxa"/>
        <w:tblInd w:w="4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8000"/>
      </w:tblGrid>
      <w:tr w14:paraId="209C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FFFFFF" w:themeFill="background1"/>
            <w:vAlign w:val="center"/>
          </w:tcPr>
          <w:p w14:paraId="7EA1B9F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  <w:tc>
          <w:tcPr>
            <w:tcW w:w="8000" w:type="dxa"/>
            <w:shd w:val="clear" w:color="auto" w:fill="FFFFFF" w:themeFill="background1"/>
            <w:vAlign w:val="center"/>
          </w:tcPr>
          <w:p w14:paraId="013E043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进入条件和行为</w:t>
            </w:r>
          </w:p>
        </w:tc>
      </w:tr>
      <w:tr w14:paraId="0718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AC7A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  <w:tc>
          <w:tcPr>
            <w:tcW w:w="8000" w:type="dxa"/>
            <w:vAlign w:val="center"/>
          </w:tcPr>
          <w:p w14:paraId="2903254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上电或解除停用后进入；等待有效压力和测试通过标志，并立即判断下一状态</w:t>
            </w:r>
          </w:p>
        </w:tc>
      </w:tr>
      <w:tr w14:paraId="0126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34452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待用</w:t>
            </w:r>
          </w:p>
        </w:tc>
        <w:tc>
          <w:tcPr>
            <w:tcW w:w="8000" w:type="dxa"/>
            <w:vAlign w:val="center"/>
          </w:tcPr>
          <w:p w14:paraId="16F38F4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有效压力不低于 1.5 MPa，可按气瓶顺序成为工作瓶</w:t>
            </w:r>
          </w:p>
        </w:tc>
      </w:tr>
      <w:tr w14:paraId="6EF0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87234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</w:p>
        </w:tc>
        <w:tc>
          <w:tcPr>
            <w:tcW w:w="8000" w:type="dxa"/>
            <w:vAlign w:val="center"/>
          </w:tcPr>
          <w:p w14:paraId="355B52E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当前工作瓶，进气阀开启</w:t>
            </w:r>
          </w:p>
        </w:tc>
      </w:tr>
      <w:tr w14:paraId="26E7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52D9C9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低压警告</w:t>
            </w:r>
          </w:p>
        </w:tc>
        <w:tc>
          <w:tcPr>
            <w:tcW w:w="8000" w:type="dxa"/>
            <w:vAlign w:val="center"/>
          </w:tcPr>
          <w:p w14:paraId="378046B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非工作瓶压力低于 1.5 MPa；持续检测，恢复到 1.5 MPa 后且满足测试通过回到待用</w:t>
            </w:r>
          </w:p>
        </w:tc>
      </w:tr>
      <w:tr w14:paraId="4D096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DA8C9F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低压待换</w:t>
            </w:r>
          </w:p>
        </w:tc>
        <w:tc>
          <w:tcPr>
            <w:tcW w:w="8000" w:type="dxa"/>
            <w:vAlign w:val="center"/>
          </w:tcPr>
          <w:p w14:paraId="2D18D0D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工作瓶压力低于 2.0 MPa，继续供气并在屏幕提示退出自动候选，三阀关闭</w:t>
            </w:r>
          </w:p>
        </w:tc>
      </w:tr>
      <w:tr w14:paraId="4918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DB41A3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</w:t>
            </w:r>
          </w:p>
        </w:tc>
        <w:tc>
          <w:tcPr>
            <w:tcW w:w="8000" w:type="dxa"/>
            <w:vAlign w:val="center"/>
          </w:tcPr>
          <w:p w14:paraId="1F712F2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维护停用，进气、排气和测试三阀全部关闭且禁止开阀</w:t>
            </w:r>
          </w:p>
        </w:tc>
      </w:tr>
    </w:tbl>
    <w:p w14:paraId="18C89920"/>
    <w:p w14:paraId="1E461EC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状态转移如下图所示：</w:t>
      </w:r>
    </w:p>
    <w:p w14:paraId="1A5E7D71">
      <w:r>
        <w:rPr>
          <w:rFonts w:hint="default"/>
          <w:lang w:val="en-US" w:eastAsia="zh-CN"/>
        </w:rPr>
        <w:pict>
          <v:shape id="_x0000_i1025" o:spt="75" alt="状态转换" type="#_x0000_t75" style="height:303.05pt;width:523pt;" filled="f" o:preferrelative="t" stroked="f" coordsize="21600,21600">
            <v:path/>
            <v:fill on="f" focussize="0,0"/>
            <v:stroke on="f"/>
            <v:imagedata r:id="rId15" o:title="状态转换"/>
            <o:lock v:ext="edit" aspectratio="t"/>
            <w10:wrap type="none"/>
            <w10:anchorlock/>
          </v:shape>
        </w:pict>
      </w:r>
    </w:p>
    <w:p w14:paraId="10ADD3B8">
      <w:pPr>
        <w:pStyle w:val="3"/>
      </w:pPr>
      <w:r>
        <w:rPr>
          <w:rFonts w:hint="eastAsia"/>
        </w:rPr>
        <w:t>电磁阀控制模块</w:t>
      </w:r>
      <w:bookmarkEnd w:id="34"/>
    </w:p>
    <w:p w14:paraId="74C696A5">
      <w:pPr>
        <w:pStyle w:val="4"/>
        <w:ind w:left="240" w:leftChars="0" w:firstLineChars="0"/>
      </w:pPr>
      <w:r>
        <w:rPr>
          <w:rFonts w:hint="eastAsia"/>
          <w:lang w:val="en-US" w:eastAsia="zh-CN"/>
        </w:rPr>
        <w:t>硬件</w:t>
      </w:r>
    </w:p>
    <w:p w14:paraId="2780003E">
      <w:pPr>
        <w:spacing w:after="120"/>
        <w:ind w:firstLine="420"/>
        <w:rPr>
          <w:rFonts w:hint="default" w:eastAsia="宋体"/>
          <w:lang w:val="en-US" w:eastAsia="zh-CN"/>
        </w:rPr>
      </w:pPr>
      <w:r>
        <w:rPr>
          <w:rFonts w:hint="eastAsia"/>
        </w:rPr>
        <w:t>MCU通过VAL相关GPIO控制2N7002前级、光耦及后级功率器件，最终驱动电磁阀线圈。2N7002不是直接承载线圈电流的最终功率开关。系统每瓶使用一个供气阀和一个排气阀</w:t>
      </w:r>
      <w:r>
        <w:rPr>
          <w:rFonts w:hint="eastAsia"/>
          <w:lang w:val="en-US" w:eastAsia="zh-CN"/>
        </w:rPr>
        <w:t>以及一个测试阀</w:t>
      </w:r>
      <w:r>
        <w:rPr>
          <w:rFonts w:hint="eastAsia"/>
        </w:rPr>
        <w:t>，减压阀不受MCU控制。</w:t>
      </w:r>
      <w:r>
        <w:rPr>
          <w:rFonts w:hint="eastAsia"/>
          <w:lang w:val="en-US" w:eastAsia="zh-CN"/>
        </w:rPr>
        <w:t>所有电磁阀初始化上电之后全部置0。</w:t>
      </w:r>
    </w:p>
    <w:p w14:paraId="1079AA60"/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8589"/>
      </w:tblGrid>
      <w:tr w14:paraId="4F6F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</w:tcPr>
          <w:p w14:paraId="669B6336">
            <w:r>
              <w:rPr>
                <w:rFonts w:hint="eastAsia"/>
              </w:rPr>
              <w:t>名称</w:t>
            </w:r>
          </w:p>
        </w:tc>
        <w:tc>
          <w:tcPr>
            <w:tcW w:w="8589" w:type="dxa"/>
          </w:tcPr>
          <w:p w14:paraId="37116442">
            <w:r>
              <w:rPr>
                <w:rFonts w:hint="eastAsia"/>
              </w:rPr>
              <w:t>描述</w:t>
            </w:r>
          </w:p>
        </w:tc>
      </w:tr>
      <w:tr w14:paraId="022C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</w:tcPr>
          <w:p w14:paraId="63B2C364">
            <w:r>
              <w:rPr>
                <w:rFonts w:hint="eastAsia"/>
              </w:rPr>
              <w:t>MCU-IO</w:t>
            </w:r>
          </w:p>
        </w:tc>
        <w:tc>
          <w:tcPr>
            <w:tcW w:w="8589" w:type="dxa"/>
          </w:tcPr>
          <w:p w14:paraId="65F8E13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VAL相关信号 控制驱动</w:t>
            </w:r>
          </w:p>
        </w:tc>
      </w:tr>
    </w:tbl>
    <w:p w14:paraId="72B4DF1E"/>
    <w:p w14:paraId="50DB9A39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映射关系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2716"/>
        <w:gridCol w:w="2959"/>
        <w:gridCol w:w="2914"/>
      </w:tblGrid>
      <w:tr w14:paraId="2A44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  <w:vAlign w:val="center"/>
          </w:tcPr>
          <w:p w14:paraId="12030D45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气瓶</w:t>
            </w:r>
          </w:p>
        </w:tc>
        <w:tc>
          <w:tcPr>
            <w:tcW w:w="2716" w:type="dxa"/>
            <w:vAlign w:val="center"/>
          </w:tcPr>
          <w:p w14:paraId="19F3E9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供气阀</w:t>
            </w:r>
          </w:p>
        </w:tc>
        <w:tc>
          <w:tcPr>
            <w:tcW w:w="2959" w:type="dxa"/>
            <w:vAlign w:val="center"/>
          </w:tcPr>
          <w:p w14:paraId="0BF7951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</w:t>
            </w:r>
          </w:p>
        </w:tc>
        <w:tc>
          <w:tcPr>
            <w:tcW w:w="2914" w:type="dxa"/>
            <w:vAlign w:val="center"/>
          </w:tcPr>
          <w:p w14:paraId="5B22B7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</w:t>
            </w:r>
          </w:p>
        </w:tc>
      </w:tr>
      <w:tr w14:paraId="6A624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183CC82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16" w:type="dxa"/>
            <w:vAlign w:val="center"/>
          </w:tcPr>
          <w:p w14:paraId="70489C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</w:t>
            </w:r>
          </w:p>
        </w:tc>
        <w:tc>
          <w:tcPr>
            <w:tcW w:w="2959" w:type="dxa"/>
            <w:vAlign w:val="center"/>
          </w:tcPr>
          <w:p w14:paraId="355AF68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VAL2</w:t>
            </w:r>
          </w:p>
        </w:tc>
        <w:tc>
          <w:tcPr>
            <w:tcW w:w="2914" w:type="dxa"/>
            <w:vAlign w:val="center"/>
          </w:tcPr>
          <w:p w14:paraId="02A349B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VAL3</w:t>
            </w:r>
          </w:p>
        </w:tc>
      </w:tr>
      <w:tr w14:paraId="611A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1B81EA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16" w:type="dxa"/>
            <w:vAlign w:val="center"/>
          </w:tcPr>
          <w:p w14:paraId="484FFDC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VAL4</w:t>
            </w:r>
          </w:p>
        </w:tc>
        <w:tc>
          <w:tcPr>
            <w:tcW w:w="2959" w:type="dxa"/>
            <w:vAlign w:val="center"/>
          </w:tcPr>
          <w:p w14:paraId="7A7109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VAL5</w:t>
            </w:r>
          </w:p>
        </w:tc>
        <w:tc>
          <w:tcPr>
            <w:tcW w:w="2914" w:type="dxa"/>
            <w:vAlign w:val="center"/>
          </w:tcPr>
          <w:p w14:paraId="432E45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VAL6</w:t>
            </w:r>
          </w:p>
        </w:tc>
      </w:tr>
      <w:tr w14:paraId="64D8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421B59C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716" w:type="dxa"/>
            <w:vAlign w:val="center"/>
          </w:tcPr>
          <w:p w14:paraId="4F2D01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VAL7</w:t>
            </w:r>
          </w:p>
        </w:tc>
        <w:tc>
          <w:tcPr>
            <w:tcW w:w="2959" w:type="dxa"/>
            <w:vAlign w:val="center"/>
          </w:tcPr>
          <w:p w14:paraId="1E20AAF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VAL8</w:t>
            </w:r>
          </w:p>
        </w:tc>
        <w:tc>
          <w:tcPr>
            <w:tcW w:w="2914" w:type="dxa"/>
            <w:vAlign w:val="center"/>
          </w:tcPr>
          <w:p w14:paraId="49F276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VAL9</w:t>
            </w:r>
          </w:p>
        </w:tc>
      </w:tr>
      <w:tr w14:paraId="33C9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056EEC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16" w:type="dxa"/>
            <w:vAlign w:val="center"/>
          </w:tcPr>
          <w:p w14:paraId="7D04EA5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VAL10</w:t>
            </w:r>
          </w:p>
        </w:tc>
        <w:tc>
          <w:tcPr>
            <w:tcW w:w="2959" w:type="dxa"/>
            <w:vAlign w:val="center"/>
          </w:tcPr>
          <w:p w14:paraId="4A5FF35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VAL11</w:t>
            </w:r>
          </w:p>
        </w:tc>
        <w:tc>
          <w:tcPr>
            <w:tcW w:w="2914" w:type="dxa"/>
            <w:vAlign w:val="center"/>
          </w:tcPr>
          <w:p w14:paraId="6DFC5C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VAL12</w:t>
            </w:r>
          </w:p>
        </w:tc>
      </w:tr>
      <w:tr w14:paraId="72F32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545C03E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716" w:type="dxa"/>
            <w:vAlign w:val="center"/>
          </w:tcPr>
          <w:p w14:paraId="65976FE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VAL13</w:t>
            </w:r>
          </w:p>
        </w:tc>
        <w:tc>
          <w:tcPr>
            <w:tcW w:w="2959" w:type="dxa"/>
            <w:vAlign w:val="center"/>
          </w:tcPr>
          <w:p w14:paraId="31840F2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VAL14</w:t>
            </w:r>
          </w:p>
        </w:tc>
        <w:tc>
          <w:tcPr>
            <w:tcW w:w="2914" w:type="dxa"/>
            <w:vAlign w:val="center"/>
          </w:tcPr>
          <w:p w14:paraId="0D9D911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VAL15</w:t>
            </w:r>
          </w:p>
        </w:tc>
      </w:tr>
      <w:tr w14:paraId="0EE3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626F56A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716" w:type="dxa"/>
            <w:vAlign w:val="center"/>
          </w:tcPr>
          <w:p w14:paraId="639494A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VAL16</w:t>
            </w:r>
          </w:p>
        </w:tc>
        <w:tc>
          <w:tcPr>
            <w:tcW w:w="2959" w:type="dxa"/>
            <w:vAlign w:val="center"/>
          </w:tcPr>
          <w:p w14:paraId="5F6D132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VAL17</w:t>
            </w:r>
          </w:p>
        </w:tc>
        <w:tc>
          <w:tcPr>
            <w:tcW w:w="2914" w:type="dxa"/>
            <w:vAlign w:val="center"/>
          </w:tcPr>
          <w:p w14:paraId="7A00BD0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VAL18</w:t>
            </w:r>
          </w:p>
        </w:tc>
      </w:tr>
    </w:tbl>
    <w:p w14:paraId="76A98308">
      <w:pPr>
        <w:rPr>
          <w:rFonts w:hint="eastAsia"/>
          <w:lang w:val="en-US" w:eastAsia="zh-CN"/>
        </w:rPr>
      </w:pPr>
    </w:p>
    <w:p w14:paraId="591DDE11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逻辑关系</w:t>
      </w:r>
    </w:p>
    <w:p w14:paraId="3C0598A4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VAL1,VAL2,VAL3共享VAL_P1 </w:t>
      </w:r>
    </w:p>
    <w:tbl>
      <w:tblPr>
        <w:tblStyle w:val="23"/>
        <w:tblW w:w="10280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2962"/>
        <w:gridCol w:w="5645"/>
      </w:tblGrid>
      <w:tr w14:paraId="4F63F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673" w:type="dxa"/>
            <w:vAlign w:val="center"/>
          </w:tcPr>
          <w:p w14:paraId="4D115960">
            <w:pPr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962" w:type="dxa"/>
            <w:vAlign w:val="center"/>
          </w:tcPr>
          <w:p w14:paraId="51936B1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VAL_P1=1</w:t>
            </w:r>
          </w:p>
        </w:tc>
        <w:tc>
          <w:tcPr>
            <w:tcW w:w="5645" w:type="dxa"/>
            <w:vAlign w:val="center"/>
          </w:tcPr>
          <w:p w14:paraId="4E142BB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VAL_P1=0</w:t>
            </w:r>
          </w:p>
        </w:tc>
      </w:tr>
      <w:tr w14:paraId="642D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26903F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VAL=1</w:t>
            </w:r>
          </w:p>
        </w:tc>
        <w:tc>
          <w:tcPr>
            <w:tcW w:w="2962" w:type="dxa"/>
            <w:vAlign w:val="center"/>
          </w:tcPr>
          <w:p w14:paraId="1BF94C3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12V</w:t>
            </w:r>
          </w:p>
        </w:tc>
        <w:tc>
          <w:tcPr>
            <w:tcW w:w="5645" w:type="dxa"/>
            <w:vAlign w:val="center"/>
          </w:tcPr>
          <w:p w14:paraId="6EC46D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5V</w:t>
            </w:r>
          </w:p>
        </w:tc>
      </w:tr>
      <w:tr w14:paraId="4C55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3" w:type="dxa"/>
            <w:vAlign w:val="center"/>
          </w:tcPr>
          <w:p w14:paraId="01D7E82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VAL=0</w:t>
            </w:r>
          </w:p>
        </w:tc>
        <w:tc>
          <w:tcPr>
            <w:tcW w:w="2962" w:type="dxa"/>
            <w:vAlign w:val="center"/>
          </w:tcPr>
          <w:p w14:paraId="5C039BD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0V</w:t>
            </w:r>
          </w:p>
        </w:tc>
        <w:tc>
          <w:tcPr>
            <w:tcW w:w="5645" w:type="dxa"/>
            <w:vAlign w:val="center"/>
          </w:tcPr>
          <w:p w14:paraId="5FD217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0V</w:t>
            </w:r>
          </w:p>
        </w:tc>
      </w:tr>
    </w:tbl>
    <w:p w14:paraId="4B83AE58">
      <w:pPr>
        <w:rPr>
          <w:rFonts w:hint="default"/>
          <w:lang w:val="en-US" w:eastAsia="zh-CN"/>
        </w:rPr>
      </w:pPr>
    </w:p>
    <w:p w14:paraId="4329CF9E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电磁阀各状态操作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2875"/>
        <w:gridCol w:w="2959"/>
        <w:gridCol w:w="2914"/>
      </w:tblGrid>
      <w:tr w14:paraId="7430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0894236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气瓶状态</w:t>
            </w:r>
          </w:p>
        </w:tc>
        <w:tc>
          <w:tcPr>
            <w:tcW w:w="2875" w:type="dxa"/>
            <w:vAlign w:val="center"/>
          </w:tcPr>
          <w:p w14:paraId="39E3CA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进气阀</w:t>
            </w:r>
          </w:p>
        </w:tc>
        <w:tc>
          <w:tcPr>
            <w:tcW w:w="2959" w:type="dxa"/>
            <w:vAlign w:val="center"/>
          </w:tcPr>
          <w:p w14:paraId="1859BA9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排气阀</w:t>
            </w:r>
          </w:p>
        </w:tc>
        <w:tc>
          <w:tcPr>
            <w:tcW w:w="2914" w:type="dxa"/>
            <w:vAlign w:val="center"/>
          </w:tcPr>
          <w:p w14:paraId="719047C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测试阀</w:t>
            </w:r>
          </w:p>
        </w:tc>
      </w:tr>
      <w:tr w14:paraId="063A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0CB3E35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</w:p>
        </w:tc>
        <w:tc>
          <w:tcPr>
            <w:tcW w:w="2875" w:type="dxa"/>
            <w:vAlign w:val="center"/>
          </w:tcPr>
          <w:p w14:paraId="6328C95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6B3C76E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4A4C00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56C4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1957B76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待用</w:t>
            </w:r>
          </w:p>
        </w:tc>
        <w:tc>
          <w:tcPr>
            <w:tcW w:w="2875" w:type="dxa"/>
            <w:vAlign w:val="center"/>
          </w:tcPr>
          <w:p w14:paraId="021E508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始终紧闭，不可手动开闭；被选为工作瓶时由程序打开并转入使用</w:t>
            </w:r>
          </w:p>
        </w:tc>
        <w:tc>
          <w:tcPr>
            <w:tcW w:w="2959" w:type="dxa"/>
            <w:vAlign w:val="center"/>
          </w:tcPr>
          <w:p w14:paraId="1ACD7B3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6AC31B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176F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8A125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</w:t>
            </w:r>
          </w:p>
        </w:tc>
        <w:tc>
          <w:tcPr>
            <w:tcW w:w="2875" w:type="dxa"/>
            <w:vAlign w:val="center"/>
          </w:tcPr>
          <w:p w14:paraId="5233320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0F6D64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1B418D3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  <w:tr w14:paraId="6FFD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7BF19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低压待换</w:t>
            </w:r>
          </w:p>
        </w:tc>
        <w:tc>
          <w:tcPr>
            <w:tcW w:w="2875" w:type="dxa"/>
            <w:vAlign w:val="center"/>
          </w:tcPr>
          <w:p w14:paraId="1B9B3AF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2D72DE1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可手动开启；五秒后自动关闭</w:t>
            </w:r>
          </w:p>
        </w:tc>
        <w:tc>
          <w:tcPr>
            <w:tcW w:w="2914" w:type="dxa"/>
            <w:vAlign w:val="center"/>
          </w:tcPr>
          <w:p w14:paraId="46C66D1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可手动开闭；开启满一分钟自动关闭</w:t>
            </w:r>
          </w:p>
        </w:tc>
      </w:tr>
      <w:tr w14:paraId="56F6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66D28C7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低压警告</w:t>
            </w:r>
          </w:p>
        </w:tc>
        <w:tc>
          <w:tcPr>
            <w:tcW w:w="2875" w:type="dxa"/>
            <w:vAlign w:val="center"/>
          </w:tcPr>
          <w:p w14:paraId="58AC2B0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始终打开，不可手动开闭；达到自动换瓶条件后由程序关闭</w:t>
            </w:r>
          </w:p>
        </w:tc>
        <w:tc>
          <w:tcPr>
            <w:tcW w:w="2959" w:type="dxa"/>
            <w:vAlign w:val="center"/>
          </w:tcPr>
          <w:p w14:paraId="4A01EB1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557EB24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  <w:tr w14:paraId="71E0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vAlign w:val="center"/>
          </w:tcPr>
          <w:p w14:paraId="3778E5E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停用</w:t>
            </w:r>
          </w:p>
        </w:tc>
        <w:tc>
          <w:tcPr>
            <w:tcW w:w="2875" w:type="dxa"/>
            <w:vAlign w:val="center"/>
          </w:tcPr>
          <w:p w14:paraId="45A331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59" w:type="dxa"/>
            <w:vAlign w:val="center"/>
          </w:tcPr>
          <w:p w14:paraId="31CD114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  <w:tc>
          <w:tcPr>
            <w:tcW w:w="2914" w:type="dxa"/>
            <w:vAlign w:val="center"/>
          </w:tcPr>
          <w:p w14:paraId="6EFE500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始终紧闭，不可手动开闭</w:t>
            </w:r>
          </w:p>
        </w:tc>
      </w:tr>
    </w:tbl>
    <w:p w14:paraId="056B5E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为保证安全测试阀受到最多打开一分钟的限制，排气阀固定五秒。</w:t>
      </w:r>
    </w:p>
    <w:p w14:paraId="31ED537C">
      <w:pPr>
        <w:pStyle w:val="4"/>
        <w:ind w:left="240" w:leftChars="0" w:firstLineChars="0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eastAsia" w:cs="Times New Roman"/>
          <w:b/>
          <w:bCs/>
          <w:kern w:val="0"/>
          <w:sz w:val="32"/>
          <w:szCs w:val="32"/>
          <w:lang w:val="en-US" w:eastAsia="zh-CN" w:bidi="ar-SA"/>
        </w:rPr>
        <w:t>软件</w:t>
      </w:r>
    </w:p>
    <w:p w14:paraId="45A2ED5A">
      <w:pPr>
        <w:ind w:firstLine="480" w:firstLineChars="200"/>
        <w:rPr>
          <w:rFonts w:hint="eastAsia"/>
        </w:rPr>
      </w:pPr>
      <w:r>
        <w:rPr>
          <w:rFonts w:hint="eastAsia"/>
        </w:rPr>
        <w:t>所有阀门动作统一由阀门功能层仲裁。应用层、HMI和外部通信不得直接写GPIO。</w:t>
      </w:r>
    </w:p>
    <w:tbl>
      <w:tblPr>
        <w:tblStyle w:val="23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7916"/>
      </w:tblGrid>
      <w:tr w14:paraId="55D5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6" w:type="dxa"/>
          </w:tcPr>
          <w:p w14:paraId="6B3E6E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要求</w:t>
            </w:r>
          </w:p>
        </w:tc>
        <w:tc>
          <w:tcPr>
            <w:tcW w:w="7916" w:type="dxa"/>
          </w:tcPr>
          <w:p w14:paraId="11E5BE5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处理方式</w:t>
            </w:r>
          </w:p>
        </w:tc>
      </w:tr>
      <w:tr w14:paraId="046E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5A37C802">
            <w:pPr>
              <w:rPr>
                <w:rFonts w:hint="eastAsia"/>
              </w:rPr>
            </w:pPr>
            <w:r>
              <w:rPr>
                <w:rFonts w:hint="eastAsia"/>
              </w:rPr>
              <w:t>最多一路供气</w:t>
            </w:r>
          </w:p>
        </w:tc>
        <w:tc>
          <w:tcPr>
            <w:tcW w:w="7916" w:type="dxa"/>
          </w:tcPr>
          <w:p w14:paraId="344C245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请求打开供气阀前检查其余五路；发现多路同时开启时关闭全部阀并置严重报警。</w:t>
            </w:r>
            <w:r>
              <w:rPr>
                <w:rFonts w:hint="eastAsia"/>
                <w:lang w:val="en-US" w:eastAsia="zh-CN"/>
              </w:rPr>
              <w:t>可以设置报警代码</w:t>
            </w:r>
          </w:p>
        </w:tc>
      </w:tr>
      <w:tr w14:paraId="730D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0A7170BA">
            <w:pPr>
              <w:rPr>
                <w:rFonts w:hint="eastAsia"/>
              </w:rPr>
            </w:pPr>
            <w:r>
              <w:rPr>
                <w:rFonts w:hint="eastAsia"/>
              </w:rPr>
              <w:t>同瓶供排气互斥</w:t>
            </w:r>
          </w:p>
        </w:tc>
        <w:tc>
          <w:tcPr>
            <w:tcW w:w="7916" w:type="dxa"/>
          </w:tcPr>
          <w:p w14:paraId="407E3EB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供气阀开启时拒绝打开同瓶排气阀</w:t>
            </w:r>
            <w:r>
              <w:rPr>
                <w:rFonts w:hint="eastAsia"/>
                <w:lang w:val="en-US" w:eastAsia="zh-CN"/>
              </w:rPr>
              <w:t>和测试阀</w:t>
            </w:r>
            <w:r>
              <w:rPr>
                <w:rFonts w:hint="eastAsia"/>
              </w:rPr>
              <w:t>；排气阀</w:t>
            </w:r>
            <w:r>
              <w:rPr>
                <w:rFonts w:hint="eastAsia"/>
                <w:lang w:val="en-US" w:eastAsia="zh-CN"/>
              </w:rPr>
              <w:t>和测试阀属于人员控制功能</w:t>
            </w:r>
          </w:p>
        </w:tc>
      </w:tr>
      <w:tr w14:paraId="46CC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</w:tcPr>
          <w:p w14:paraId="3FAD7543">
            <w:pPr>
              <w:rPr>
                <w:rFonts w:hint="eastAsia"/>
              </w:rPr>
            </w:pPr>
            <w:r>
              <w:rPr>
                <w:rFonts w:hint="eastAsia"/>
              </w:rPr>
              <w:t>上电与复位安全</w:t>
            </w:r>
          </w:p>
        </w:tc>
        <w:tc>
          <w:tcPr>
            <w:tcW w:w="7916" w:type="dxa"/>
          </w:tcPr>
          <w:p w14:paraId="7E32E938">
            <w:pPr>
              <w:rPr>
                <w:rFonts w:hint="eastAsia"/>
              </w:rPr>
            </w:pPr>
            <w:r>
              <w:rPr>
                <w:rFonts w:hint="eastAsia"/>
              </w:rPr>
              <w:t>初始化、停止、平台未就绪或控制异常时执行全部阀门关闭。</w:t>
            </w:r>
          </w:p>
          <w:p w14:paraId="05C7DC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初始化后所有阀门控制默认置0</w:t>
            </w:r>
          </w:p>
        </w:tc>
      </w:tr>
    </w:tbl>
    <w:p w14:paraId="1BEBCE59">
      <w:pPr>
        <w:rPr>
          <w:rFonts w:hint="eastAsia"/>
          <w:lang w:val="en-US" w:eastAsia="zh-CN"/>
        </w:rPr>
      </w:pPr>
    </w:p>
    <w:p w14:paraId="257F659D">
      <w:pPr>
        <w:pStyle w:val="3"/>
        <w:spacing w:after="120"/>
        <w:rPr>
          <w:rFonts w:hint="eastAsia"/>
        </w:rPr>
      </w:pPr>
      <w:bookmarkStart w:id="35" w:name="_Toc237520491"/>
      <w:r>
        <w:rPr>
          <w:rFonts w:hint="eastAsia"/>
        </w:rPr>
        <w:t>自动切瓶控制模块</w:t>
      </w:r>
      <w:bookmarkEnd w:id="35"/>
    </w:p>
    <w:p w14:paraId="150A622C">
      <w:pPr>
        <w:pStyle w:val="4"/>
        <w:spacing w:after="120"/>
        <w:rPr>
          <w:rFonts w:hint="eastAsia"/>
        </w:rPr>
      </w:pPr>
      <w:bookmarkStart w:id="36" w:name="_Toc237520492"/>
      <w:r>
        <w:rPr>
          <w:rFonts w:hint="eastAsia"/>
        </w:rPr>
        <w:t>低压判定</w:t>
      </w:r>
      <w:bookmarkEnd w:id="36"/>
    </w:p>
    <w:p w14:paraId="5D1790EF">
      <w:pPr>
        <w:spacing w:after="120"/>
        <w:ind w:firstLine="420"/>
        <w:rPr>
          <w:rFonts w:hint="eastAsia"/>
        </w:rPr>
      </w:pPr>
      <w:r>
        <w:rPr>
          <w:rFonts w:hint="eastAsia"/>
        </w:rPr>
        <w:t>当前工作瓶压力小于或等于1.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MPa时进入低压确认。为避免压力在阈值附近波动造成误切换，采用1.3 MPa释放回差，并要求至少连续3个独立有效样本且持续时间不少于1s。以上回差、样本数和持续时间为当前工程初值，需要结合传感器刷新周期和现场压力波动验证。</w:t>
      </w:r>
    </w:p>
    <w:p w14:paraId="67AA20D8">
      <w:pPr>
        <w:spacing w:after="120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主要目的是为防止现场对传感器参数的影响</w:t>
      </w:r>
    </w:p>
    <w:p w14:paraId="416B2E41">
      <w:pPr>
        <w:pStyle w:val="4"/>
        <w:spacing w:after="120"/>
        <w:rPr>
          <w:rFonts w:hint="eastAsia"/>
        </w:rPr>
      </w:pPr>
      <w:bookmarkStart w:id="37" w:name="_Toc237520493"/>
      <w:r>
        <w:rPr>
          <w:rFonts w:hint="eastAsia"/>
        </w:rPr>
        <w:t>备用瓶选择</w:t>
      </w:r>
      <w:bookmarkEnd w:id="37"/>
    </w:p>
    <w:p w14:paraId="5C715935">
      <w:pPr>
        <w:spacing w:after="120"/>
        <w:ind w:firstLine="420"/>
        <w:rPr>
          <w:rFonts w:hint="eastAsia"/>
        </w:rPr>
      </w:pPr>
      <w:r>
        <w:rPr>
          <w:rFonts w:hint="eastAsia"/>
        </w:rPr>
        <w:t>备用瓶按照1→2→3→4→5→6→1的顺序循环选择，从当前瓶的下一编号开始查找。候选瓶必须处于</w:t>
      </w:r>
      <w:r>
        <w:rPr>
          <w:rFonts w:hint="eastAsia"/>
          <w:lang w:val="en-US" w:eastAsia="zh-CN"/>
        </w:rPr>
        <w:t>待用状态</w:t>
      </w:r>
      <w:r>
        <w:rPr>
          <w:rFonts w:hint="eastAsia"/>
        </w:rPr>
        <w:t>。1.5 MPa为当前设计初值，可在实机验证后调整。</w:t>
      </w:r>
    </w:p>
    <w:p w14:paraId="21C7BD3C">
      <w:pPr>
        <w:pStyle w:val="4"/>
        <w:spacing w:after="120"/>
        <w:rPr>
          <w:rFonts w:hint="eastAsia"/>
        </w:rPr>
      </w:pPr>
      <w:bookmarkStart w:id="38" w:name="_Toc237520494"/>
      <w:r>
        <w:rPr>
          <w:rFonts w:hint="eastAsia"/>
        </w:rPr>
        <w:t>切换时序</w:t>
      </w:r>
      <w:bookmarkEnd w:id="38"/>
    </w:p>
    <w:tbl>
      <w:tblPr>
        <w:tblStyle w:val="23"/>
        <w:tblW w:w="10275" w:type="dxa"/>
        <w:tblInd w:w="4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268"/>
        <w:gridCol w:w="7301"/>
      </w:tblGrid>
      <w:tr w14:paraId="3417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6" w:type="dxa"/>
            <w:shd w:val="clear" w:color="auto" w:fill="FFFFFF" w:themeFill="background1"/>
            <w:vAlign w:val="center"/>
          </w:tcPr>
          <w:p w14:paraId="72E1B7A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步骤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4EC12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状态/动作</w:t>
            </w:r>
          </w:p>
        </w:tc>
        <w:tc>
          <w:tcPr>
            <w:tcW w:w="7301" w:type="dxa"/>
            <w:shd w:val="clear" w:color="auto" w:fill="FFFFFF" w:themeFill="background1"/>
            <w:vAlign w:val="center"/>
          </w:tcPr>
          <w:p w14:paraId="6054E66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45E2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778E9D5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353695E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确认低压</w:t>
            </w:r>
          </w:p>
        </w:tc>
        <w:tc>
          <w:tcPr>
            <w:tcW w:w="7301" w:type="dxa"/>
            <w:vAlign w:val="center"/>
          </w:tcPr>
          <w:p w14:paraId="0A21987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当前ACTIVE瓶满足1.5 MPa、样本数和持续时间条件。</w:t>
            </w:r>
          </w:p>
        </w:tc>
      </w:tr>
      <w:tr w14:paraId="5EE7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21A10FA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3AE1869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查找备用瓶</w:t>
            </w:r>
          </w:p>
        </w:tc>
        <w:tc>
          <w:tcPr>
            <w:tcW w:w="7301" w:type="dxa"/>
            <w:vAlign w:val="center"/>
          </w:tcPr>
          <w:p w14:paraId="78F4B59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按固定顺序选择第一只满足条件的待用气瓶。</w:t>
            </w:r>
          </w:p>
        </w:tc>
      </w:tr>
      <w:tr w14:paraId="5E3E4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7DAF92B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268" w:type="dxa"/>
            <w:vAlign w:val="center"/>
          </w:tcPr>
          <w:p w14:paraId="539C9F5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关闭旧瓶</w:t>
            </w:r>
          </w:p>
        </w:tc>
        <w:tc>
          <w:tcPr>
            <w:tcW w:w="7301" w:type="dxa"/>
            <w:vAlign w:val="center"/>
          </w:tcPr>
          <w:p w14:paraId="3A9AC32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向旧瓶供气阀发送OFF，并保持其他备用供气阀关闭。</w:t>
            </w:r>
          </w:p>
        </w:tc>
      </w:tr>
      <w:tr w14:paraId="3543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169C36E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268" w:type="dxa"/>
            <w:vAlign w:val="center"/>
          </w:tcPr>
          <w:p w14:paraId="01F30E5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切换死区</w:t>
            </w:r>
          </w:p>
        </w:tc>
        <w:tc>
          <w:tcPr>
            <w:tcW w:w="7301" w:type="dxa"/>
            <w:vAlign w:val="center"/>
          </w:tcPr>
          <w:p w14:paraId="6479F1F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等待500ms；该值应大于电磁阀最大关闭时间并经实机确认。</w:t>
            </w:r>
          </w:p>
        </w:tc>
      </w:tr>
      <w:tr w14:paraId="1F85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094F4B5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268" w:type="dxa"/>
            <w:vAlign w:val="center"/>
          </w:tcPr>
          <w:p w14:paraId="42094ED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打开新瓶</w:t>
            </w:r>
          </w:p>
        </w:tc>
        <w:tc>
          <w:tcPr>
            <w:tcW w:w="7301" w:type="dxa"/>
            <w:vAlign w:val="center"/>
          </w:tcPr>
          <w:p w14:paraId="7A22AE4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向候选瓶供气阀发送ON，旧瓶继续保持OFF。</w:t>
            </w:r>
          </w:p>
        </w:tc>
      </w:tr>
      <w:tr w14:paraId="5E6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6" w:type="dxa"/>
            <w:vAlign w:val="center"/>
          </w:tcPr>
          <w:p w14:paraId="656A3B4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268" w:type="dxa"/>
            <w:vAlign w:val="center"/>
          </w:tcPr>
          <w:p w14:paraId="37716199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开启等待</w:t>
            </w:r>
          </w:p>
        </w:tc>
        <w:tc>
          <w:tcPr>
            <w:tcW w:w="7301" w:type="dxa"/>
            <w:vAlign w:val="center"/>
          </w:tcPr>
          <w:p w14:paraId="13B9EAA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等待500ms后将新瓶设为使用，旧瓶设为低压待换。</w:t>
            </w:r>
          </w:p>
        </w:tc>
      </w:tr>
    </w:tbl>
    <w:p w14:paraId="04D4DB6C">
      <w:pPr>
        <w:spacing w:after="120"/>
        <w:ind w:firstLine="420"/>
        <w:rPr>
          <w:rFonts w:hint="eastAsia"/>
        </w:rPr>
      </w:pPr>
      <w:r>
        <w:rPr>
          <w:rFonts w:hint="eastAsia"/>
        </w:rPr>
        <w:t>系统允许切换期间短暂断气，因此不得实现两瓶供气阀重叠开启。没有可用备用瓶时，系统保持原工作瓶供气并产生“无备用瓶”严重报警；不得先关闭旧瓶后再判断备用瓶。ACTIVE传感器通信失效时冻结自动切瓶，不得将无效数据当作0 MPa。</w:t>
      </w:r>
    </w:p>
    <w:sectPr>
      <w:headerReference r:id="rId12" w:type="default"/>
      <w:footerReference r:id="rId13" w:type="default"/>
      <w:pgSz w:w="11906" w:h="16838"/>
      <w:pgMar w:top="720" w:right="720" w:bottom="720" w:left="72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21209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 xml:space="preserve">第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PAGE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sz w:val="21"/>
      </w:rPr>
      <w:t>1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 共</w:t>
    </w:r>
    <w:r>
      <w:rPr>
        <w:rFonts w:hint="eastAsia" w:ascii="宋体" w:hAnsi="宋体"/>
        <w:sz w:val="18"/>
        <w:szCs w:val="20"/>
      </w:rPr>
      <w:t xml:space="preserve"> </w:t>
    </w:r>
    <w:r>
      <w:rPr>
        <w:rFonts w:hint="eastAsia" w:ascii="宋体" w:hAnsi="宋体"/>
        <w:sz w:val="18"/>
        <w:szCs w:val="20"/>
      </w:rPr>
      <w:fldChar w:fldCharType="begin"/>
    </w:r>
    <w:r>
      <w:rPr>
        <w:rFonts w:hint="eastAsia" w:ascii="宋体" w:hAnsi="宋体"/>
        <w:sz w:val="18"/>
        <w:szCs w:val="20"/>
      </w:rPr>
      <w:instrText xml:space="preserve"> sectionPAGES  \* MERGEFORMAT </w:instrText>
    </w:r>
    <w:r>
      <w:rPr>
        <w:rFonts w:hint="eastAsia" w:ascii="宋体" w:hAnsi="宋体"/>
        <w:sz w:val="18"/>
        <w:szCs w:val="20"/>
      </w:rPr>
      <w:fldChar w:fldCharType="separate"/>
    </w:r>
    <w:r>
      <w:rPr>
        <w:rFonts w:hint="eastAsia" w:ascii="宋体" w:hAnsi="宋体"/>
        <w:sz w:val="18"/>
        <w:szCs w:val="20"/>
      </w:rPr>
      <w:t>2</w:t>
    </w:r>
    <w:r>
      <w:rPr>
        <w:rFonts w:hint="eastAsia" w:ascii="宋体" w:hAnsi="宋体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页</w:t>
    </w:r>
  </w:p>
  <w:p w14:paraId="5A0AAF52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82390">
    <w:pPr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A471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B49BB">
    <w:pPr>
      <w:jc w:val="center"/>
      <w:rPr>
        <w:rFonts w:ascii="宋体"/>
        <w:szCs w:val="21"/>
      </w:rPr>
    </w:pPr>
    <w:r>
      <w:rPr>
        <w:rFonts w:hint="eastAsia" w:ascii="宋体"/>
        <w:szCs w:val="21"/>
      </w:rPr>
      <w:t xml:space="preserve">第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PAGE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 共</w:t>
    </w:r>
    <w:r>
      <w:rPr>
        <w:rFonts w:hint="eastAsia" w:ascii="宋体" w:hAnsi="宋体"/>
        <w:szCs w:val="21"/>
      </w:rPr>
      <w:t xml:space="preserve"> </w:t>
    </w:r>
    <w:r>
      <w:rPr>
        <w:rFonts w:hint="eastAsia" w:ascii="宋体" w:hAnsi="宋体"/>
        <w:szCs w:val="21"/>
      </w:rPr>
      <w:fldChar w:fldCharType="begin"/>
    </w:r>
    <w:r>
      <w:rPr>
        <w:rFonts w:hint="eastAsia" w:ascii="宋体" w:hAnsi="宋体"/>
        <w:szCs w:val="21"/>
      </w:rPr>
      <w:instrText xml:space="preserve"> sectionPAGES  \* MERGEFORMAT </w:instrText>
    </w:r>
    <w:r>
      <w:rPr>
        <w:rFonts w:hint="eastAsia" w:ascii="宋体" w:hAnsi="宋体"/>
        <w:szCs w:val="21"/>
      </w:rPr>
      <w:fldChar w:fldCharType="separate"/>
    </w:r>
    <w:r>
      <w:rPr>
        <w:rFonts w:hint="eastAsia" w:ascii="宋体" w:hAnsi="宋体"/>
        <w:szCs w:val="21"/>
      </w:rPr>
      <w:t>10</w:t>
    </w:r>
    <w:r>
      <w:rPr>
        <w:rFonts w:hint="eastAsia" w:ascii="宋体" w:hAnsi="宋体"/>
        <w:szCs w:val="21"/>
      </w:rPr>
      <w:fldChar w:fldCharType="end"/>
    </w:r>
    <w:r>
      <w:rPr>
        <w:rFonts w:hint="eastAsia" w:ascii="宋体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52887">
    <w:pPr>
      <w:pBdr>
        <w:bottom w:val="single" w:color="auto" w:sz="4" w:space="1"/>
      </w:pBdr>
      <w:jc w:val="right"/>
      <w:rPr>
        <w:rFonts w:ascii="Arial Unicode MS" w:hAnsi="Arial Unicode MS" w:eastAsia="Arial Unicode MS" w:cs="Arial Unicode MS"/>
        <w:szCs w:val="18"/>
      </w:rPr>
    </w:pPr>
    <w:r>
      <w:rPr>
        <w:rFonts w:hint="eastAsia"/>
        <w:sz w:val="28"/>
        <w:szCs w:val="18"/>
      </w:rPr>
      <w:t>成都昶艾电子科技有限公司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97FA">
    <w:pPr>
      <w:pStyle w:val="16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42AAB">
    <w:pPr>
      <w:pBdr>
        <w:bottom w:val="single" w:color="auto" w:sz="4" w:space="1"/>
      </w:pBdr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成都昶艾电子科技有限公司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4A088">
    <w:pPr>
      <w:pStyle w:val="16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7E3B">
    <w:pPr>
      <w:pBdr>
        <w:bottom w:val="single" w:color="auto" w:sz="4" w:space="1"/>
      </w:pBdr>
      <w:jc w:val="left"/>
      <w:rPr>
        <w:rFonts w:ascii="Arial Unicode MS" w:hAnsi="Arial Unicode MS" w:eastAsia="Arial Unicode MS" w:cs="Arial Unicode MS"/>
        <w:szCs w:val="21"/>
      </w:rPr>
    </w:pP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</w:t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</w:t>
    </w:r>
    <w:r>
      <w:rPr>
        <w:rFonts w:hint="eastAsia"/>
        <w:szCs w:val="21"/>
      </w:rPr>
      <w:tab/>
    </w:r>
    <w:r>
      <w:rPr>
        <w:rFonts w:hint="eastAsia"/>
        <w:szCs w:val="21"/>
      </w:rPr>
      <w:t xml:space="preserve">                  成都昶艾电子科技有限公司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35780"/>
    <w:multiLevelType w:val="multilevel"/>
    <w:tmpl w:val="C4E35780"/>
    <w:lvl w:ilvl="0" w:tentative="0">
      <w:start w:val="1"/>
      <w:numFmt w:val="chineseCountingThousand"/>
      <w:pStyle w:val="2"/>
      <w:suff w:val="space"/>
      <w:lvlText w:val="第%1章"/>
      <w:lvlJc w:val="left"/>
      <w:rPr>
        <w:rFonts w:hint="eastAsia"/>
        <w:b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360"/>
        </w:tabs>
      </w:p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 w:tentative="0">
      <w:start w:val="1"/>
      <w:numFmt w:val="decimal"/>
      <w:pStyle w:val="5"/>
      <w:isLgl/>
      <w:lvlText w:val="%3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40C0"/>
    <w:rsid w:val="00385308"/>
    <w:rsid w:val="00390500"/>
    <w:rsid w:val="0039050C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0EFF5F3E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3C291B"/>
    <w:rsid w:val="1FA63478"/>
    <w:rsid w:val="20DD736E"/>
    <w:rsid w:val="21C03EC0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B43F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81E0F73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35"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36"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37"/>
    <w:qFormat/>
    <w:uiPriority w:val="0"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8">
    <w:name w:val="heading 7"/>
    <w:basedOn w:val="1"/>
    <w:next w:val="1"/>
    <w:link w:val="38"/>
    <w:qFormat/>
    <w:uiPriority w:val="0"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9">
    <w:name w:val="heading 8"/>
    <w:basedOn w:val="1"/>
    <w:next w:val="1"/>
    <w:link w:val="39"/>
    <w:qFormat/>
    <w:uiPriority w:val="0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10">
    <w:name w:val="heading 9"/>
    <w:basedOn w:val="1"/>
    <w:next w:val="1"/>
    <w:link w:val="40"/>
    <w:qFormat/>
    <w:uiPriority w:val="0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1"/>
    <w:unhideWhenUsed/>
    <w:qFormat/>
    <w:uiPriority w:val="99"/>
    <w:rPr>
      <w:rFonts w:ascii="宋体"/>
      <w:sz w:val="18"/>
      <w:szCs w:val="18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3"/>
    <w:unhideWhenUsed/>
    <w:qFormat/>
    <w:uiPriority w:val="99"/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Body Text 2"/>
    <w:basedOn w:val="1"/>
    <w:qFormat/>
    <w:uiPriority w:val="0"/>
    <w:rPr>
      <w:b/>
      <w:bCs/>
      <w:sz w:val="28"/>
    </w:r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1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</w:rPr>
  </w:style>
  <w:style w:type="paragraph" w:styleId="22">
    <w:name w:val="annotation subject"/>
    <w:basedOn w:val="12"/>
    <w:next w:val="12"/>
    <w:link w:val="44"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22"/>
    <w:rPr>
      <w:b/>
    </w:rPr>
  </w:style>
  <w:style w:type="character" w:styleId="27">
    <w:name w:val="page number"/>
    <w:qFormat/>
    <w:uiPriority w:val="0"/>
  </w:style>
  <w:style w:type="character" w:styleId="28">
    <w:name w:val="FollowedHyperlink"/>
    <w:unhideWhenUsed/>
    <w:qFormat/>
    <w:uiPriority w:val="99"/>
    <w:rPr>
      <w:color w:val="954F72"/>
      <w:u w:val="single"/>
    </w:rPr>
  </w:style>
  <w:style w:type="character" w:styleId="29">
    <w:name w:val="Hyperlink"/>
    <w:qFormat/>
    <w:uiPriority w:val="99"/>
    <w:rPr>
      <w:color w:val="0000FF"/>
      <w:u w:val="single"/>
    </w:rPr>
  </w:style>
  <w:style w:type="character" w:styleId="30">
    <w:name w:val="HTML Code"/>
    <w:unhideWhenUsed/>
    <w:qFormat/>
    <w:uiPriority w:val="99"/>
    <w:rPr>
      <w:rFonts w:ascii="Courier New" w:hAnsi="Courier New"/>
      <w:sz w:val="20"/>
    </w:rPr>
  </w:style>
  <w:style w:type="character" w:styleId="31">
    <w:name w:val="annotation reference"/>
    <w:unhideWhenUsed/>
    <w:qFormat/>
    <w:uiPriority w:val="99"/>
    <w:rPr>
      <w:sz w:val="21"/>
      <w:szCs w:val="21"/>
    </w:rPr>
  </w:style>
  <w:style w:type="character" w:customStyle="1" w:styleId="32">
    <w:name w:val="标题 1 字符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3">
    <w:name w:val="标题 2 字符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34">
    <w:name w:val="标题 3 字符"/>
    <w:link w:val="4"/>
    <w:qFormat/>
    <w:uiPriority w:val="0"/>
    <w:rPr>
      <w:b/>
      <w:bCs/>
      <w:sz w:val="32"/>
      <w:szCs w:val="32"/>
    </w:rPr>
  </w:style>
  <w:style w:type="character" w:customStyle="1" w:styleId="35">
    <w:name w:val="标题 4 字符"/>
    <w:link w:val="5"/>
    <w:qFormat/>
    <w:uiPriority w:val="0"/>
    <w:rPr>
      <w:rFonts w:ascii="Cambria" w:hAnsi="Cambria"/>
      <w:b/>
      <w:bCs/>
      <w:sz w:val="28"/>
      <w:szCs w:val="28"/>
    </w:rPr>
  </w:style>
  <w:style w:type="character" w:customStyle="1" w:styleId="36">
    <w:name w:val="标题 5 字符"/>
    <w:link w:val="6"/>
    <w:qFormat/>
    <w:uiPriority w:val="0"/>
    <w:rPr>
      <w:b/>
      <w:bCs/>
      <w:sz w:val="28"/>
      <w:szCs w:val="28"/>
    </w:rPr>
  </w:style>
  <w:style w:type="character" w:customStyle="1" w:styleId="37">
    <w:name w:val="标题 6 字符"/>
    <w:link w:val="7"/>
    <w:qFormat/>
    <w:uiPriority w:val="0"/>
    <w:rPr>
      <w:rFonts w:ascii="Cambria" w:hAnsi="Cambria"/>
      <w:b/>
      <w:bCs/>
      <w:sz w:val="24"/>
      <w:szCs w:val="24"/>
    </w:rPr>
  </w:style>
  <w:style w:type="character" w:customStyle="1" w:styleId="38">
    <w:name w:val="标题 7 字符"/>
    <w:link w:val="8"/>
    <w:qFormat/>
    <w:uiPriority w:val="0"/>
    <w:rPr>
      <w:b/>
      <w:bCs/>
      <w:sz w:val="24"/>
      <w:szCs w:val="24"/>
    </w:rPr>
  </w:style>
  <w:style w:type="character" w:customStyle="1" w:styleId="39">
    <w:name w:val="标题 8 字符"/>
    <w:link w:val="9"/>
    <w:qFormat/>
    <w:uiPriority w:val="0"/>
    <w:rPr>
      <w:rFonts w:ascii="Cambria" w:hAnsi="Cambria"/>
      <w:sz w:val="24"/>
      <w:szCs w:val="24"/>
    </w:rPr>
  </w:style>
  <w:style w:type="character" w:customStyle="1" w:styleId="40">
    <w:name w:val="标题 9 字符"/>
    <w:link w:val="10"/>
    <w:qFormat/>
    <w:uiPriority w:val="0"/>
    <w:rPr>
      <w:rFonts w:ascii="Cambria" w:hAnsi="Cambria"/>
      <w:szCs w:val="21"/>
    </w:rPr>
  </w:style>
  <w:style w:type="character" w:customStyle="1" w:styleId="41">
    <w:name w:val="文档结构图 字符"/>
    <w:link w:val="11"/>
    <w:semiHidden/>
    <w:qFormat/>
    <w:uiPriority w:val="99"/>
    <w:rPr>
      <w:rFonts w:ascii="宋体" w:hAnsi="Calibri"/>
      <w:kern w:val="2"/>
      <w:sz w:val="18"/>
      <w:szCs w:val="18"/>
    </w:rPr>
  </w:style>
  <w:style w:type="character" w:customStyle="1" w:styleId="42">
    <w:name w:val="批注文字 字符"/>
    <w:link w:val="12"/>
    <w:semiHidden/>
    <w:qFormat/>
    <w:uiPriority w:val="99"/>
    <w:rPr>
      <w:rFonts w:ascii="Calibri" w:hAnsi="Calibri"/>
      <w:kern w:val="2"/>
      <w:sz w:val="24"/>
      <w:szCs w:val="22"/>
    </w:rPr>
  </w:style>
  <w:style w:type="character" w:customStyle="1" w:styleId="43">
    <w:name w:val="批注框文本 字符"/>
    <w:link w:val="14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44">
    <w:name w:val="批注主题 字符"/>
    <w:link w:val="22"/>
    <w:semiHidden/>
    <w:qFormat/>
    <w:uiPriority w:val="99"/>
    <w:rPr>
      <w:rFonts w:ascii="Calibri" w:hAnsi="Calibri"/>
      <w:b/>
      <w:bCs/>
      <w:kern w:val="2"/>
      <w:sz w:val="24"/>
      <w:szCs w:val="22"/>
    </w:rPr>
  </w:style>
  <w:style w:type="character" w:customStyle="1" w:styleId="45">
    <w:name w:val="批注框文本 Char"/>
    <w:link w:val="46"/>
    <w:qFormat/>
    <w:uiPriority w:val="0"/>
    <w:rPr>
      <w:sz w:val="18"/>
      <w:szCs w:val="18"/>
    </w:rPr>
  </w:style>
  <w:style w:type="paragraph" w:customStyle="1" w:styleId="46">
    <w:name w:val="批注框文本1"/>
    <w:basedOn w:val="1"/>
    <w:link w:val="45"/>
    <w:qFormat/>
    <w:uiPriority w:val="0"/>
    <w:rPr>
      <w:rFonts w:ascii="Times New Roman" w:hAnsi="Times New Roman"/>
      <w:kern w:val="0"/>
      <w:sz w:val="18"/>
      <w:szCs w:val="18"/>
    </w:rPr>
  </w:style>
  <w:style w:type="character" w:customStyle="1" w:styleId="47">
    <w:name w:val="页眉 Char Char"/>
    <w:link w:val="48"/>
    <w:qFormat/>
    <w:uiPriority w:val="0"/>
    <w:rPr>
      <w:sz w:val="18"/>
      <w:szCs w:val="18"/>
    </w:rPr>
  </w:style>
  <w:style w:type="paragraph" w:customStyle="1" w:styleId="48">
    <w:name w:val="页眉1"/>
    <w:basedOn w:val="1"/>
    <w:link w:val="4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49">
    <w:name w:val="标题 Char"/>
    <w:link w:val="50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0">
    <w:name w:val="标题1"/>
    <w:basedOn w:val="1"/>
    <w:next w:val="1"/>
    <w:link w:val="4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51">
    <w:name w:val="页脚 Char Char"/>
    <w:link w:val="52"/>
    <w:qFormat/>
    <w:uiPriority w:val="0"/>
    <w:rPr>
      <w:sz w:val="18"/>
      <w:szCs w:val="18"/>
    </w:rPr>
  </w:style>
  <w:style w:type="paragraph" w:customStyle="1" w:styleId="52">
    <w:name w:val="页脚1"/>
    <w:basedOn w:val="1"/>
    <w:link w:val="5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53">
    <w:name w:val="MM Title Char Char"/>
    <w:link w:val="54"/>
    <w:qFormat/>
    <w:uiPriority w:val="0"/>
    <w:rPr>
      <w:rFonts w:ascii="Cambria" w:hAnsi="Cambria" w:eastAsia="宋体"/>
      <w:b/>
      <w:bCs/>
      <w:sz w:val="32"/>
      <w:szCs w:val="32"/>
    </w:rPr>
  </w:style>
  <w:style w:type="paragraph" w:customStyle="1" w:styleId="54">
    <w:name w:val="MM Title"/>
    <w:basedOn w:val="50"/>
    <w:link w:val="53"/>
    <w:qFormat/>
    <w:uiPriority w:val="0"/>
  </w:style>
  <w:style w:type="character" w:customStyle="1" w:styleId="55">
    <w:name w:val="日期 Char"/>
    <w:link w:val="56"/>
    <w:qFormat/>
    <w:uiPriority w:val="0"/>
  </w:style>
  <w:style w:type="paragraph" w:customStyle="1" w:styleId="56">
    <w:name w:val="日期1"/>
    <w:basedOn w:val="1"/>
    <w:next w:val="1"/>
    <w:link w:val="55"/>
    <w:qFormat/>
    <w:uiPriority w:val="0"/>
    <w:pPr>
      <w:ind w:left="100" w:leftChars="2500"/>
    </w:pPr>
  </w:style>
  <w:style w:type="paragraph" w:customStyle="1" w:styleId="57">
    <w:name w:val="MM Topic 1"/>
    <w:basedOn w:val="2"/>
    <w:qFormat/>
    <w:uiPriority w:val="0"/>
  </w:style>
  <w:style w:type="paragraph" w:customStyle="1" w:styleId="58">
    <w:name w:val="列表段落1"/>
    <w:basedOn w:val="1"/>
    <w:qFormat/>
    <w:uiPriority w:val="0"/>
    <w:pPr>
      <w:widowControl/>
      <w:spacing w:after="80"/>
      <w:ind w:firstLine="420" w:firstLineChars="20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5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60">
    <w:name w:val="Unresolved Mention"/>
    <w:unhideWhenUsed/>
    <w:qFormat/>
    <w:uiPriority w:val="99"/>
    <w:rPr>
      <w:color w:val="605E5C"/>
      <w:shd w:val="clear" w:color="auto" w:fill="E1DFDD"/>
    </w:rPr>
  </w:style>
  <w:style w:type="character" w:customStyle="1" w:styleId="61">
    <w:name w:val="Intense Reference"/>
    <w:qFormat/>
    <w:uiPriority w:val="32"/>
    <w:rPr>
      <w:b/>
      <w:bCs/>
      <w:smallCaps/>
      <w:color w:val="4472C4"/>
      <w:spacing w:val="5"/>
    </w:rPr>
  </w:style>
  <w:style w:type="paragraph" w:customStyle="1" w:styleId="62">
    <w:name w:val="BodyCN"/>
    <w:qFormat/>
    <w:uiPriority w:val="0"/>
    <w:pPr>
      <w:spacing w:after="100" w:line="360" w:lineRule="auto"/>
      <w:ind w:firstLine="420"/>
      <w:jc w:val="both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  <w:style w:type="paragraph" w:customStyle="1" w:styleId="63">
    <w:name w:val="BulletCN"/>
    <w:qFormat/>
    <w:uiPriority w:val="0"/>
    <w:pPr>
      <w:spacing w:after="60" w:line="276" w:lineRule="auto"/>
      <w:ind w:left="397" w:hanging="198"/>
    </w:pPr>
    <w:rPr>
      <w:rFonts w:ascii="Noto Serif CJK SC" w:hAnsi="Noto Serif CJK SC" w:eastAsia="Noto Serif CJK SC" w:cs="Times New Roman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2603</Words>
  <Characters>2802</Characters>
  <Lines>272</Lines>
  <Paragraphs>145</Paragraphs>
  <TotalTime>5</TotalTime>
  <ScaleCrop>false</ScaleCrop>
  <LinksUpToDate>false</LinksUpToDate>
  <CharactersWithSpaces>3027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2026-08-13T02:28:00Z</dcterms:created>
  <dc:creator>fun</dc:creator>
  <cp:lastModifiedBy>Mr.</cp:lastModifiedBy>
  <cp:lastPrinted>2026-08-13T02:48:00Z</cp:lastPrinted>
  <dcterms:modified xsi:type="dcterms:W3CDTF">2026-09-10T07:04:57Z</dcterms:modified>
  <dc:title>立项报告模板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