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44F624">
      <w:pPr>
        <w:rPr>
          <w:rFonts w:hint="eastAsia" w:ascii="宋体" w:hAnsi="宋体" w:cs="宋体"/>
          <w:kern w:val="0"/>
          <w:sz w:val="44"/>
          <w:szCs w:val="44"/>
          <w:lang w:val="zh-CN"/>
        </w:rPr>
      </w:pPr>
    </w:p>
    <w:p w14:paraId="6AA389BC">
      <w:pPr>
        <w:jc w:val="center"/>
        <w:rPr>
          <w:rFonts w:hint="eastAsia" w:ascii="宋体" w:hAnsi="宋体" w:cs="宋体"/>
          <w:kern w:val="0"/>
          <w:sz w:val="44"/>
          <w:szCs w:val="44"/>
          <w:u w:val="single"/>
          <w:lang w:val="zh-CN"/>
        </w:rPr>
      </w:pPr>
    </w:p>
    <w:p w14:paraId="1EE7D627">
      <w:pPr>
        <w:jc w:val="center"/>
        <w:rPr>
          <w:rFonts w:hint="eastAsia" w:ascii="宋体" w:hAnsi="宋体"/>
          <w:sz w:val="44"/>
          <w:szCs w:val="44"/>
        </w:rPr>
      </w:pPr>
    </w:p>
    <w:p w14:paraId="3F0F5C60">
      <w:pPr>
        <w:jc w:val="center"/>
        <w:rPr>
          <w:rFonts w:hint="eastAsia" w:ascii="宋体" w:hAnsi="宋体"/>
          <w:sz w:val="44"/>
          <w:szCs w:val="44"/>
        </w:rPr>
      </w:pPr>
    </w:p>
    <w:p w14:paraId="4B57B048">
      <w:pPr>
        <w:jc w:val="center"/>
        <w:rPr>
          <w:rFonts w:hint="eastAsia" w:ascii="宋体" w:hAnsi="宋体"/>
          <w:sz w:val="44"/>
          <w:szCs w:val="44"/>
        </w:rPr>
      </w:pPr>
    </w:p>
    <w:p w14:paraId="7E129916">
      <w:pPr>
        <w:jc w:val="center"/>
        <w:rPr>
          <w:rFonts w:hint="eastAsia" w:ascii="宋体" w:hAnsi="宋体"/>
          <w:sz w:val="44"/>
          <w:szCs w:val="44"/>
        </w:rPr>
      </w:pPr>
    </w:p>
    <w:p w14:paraId="2A87E684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bookmarkStart w:id="0" w:name="_Toc536644046"/>
      <w:bookmarkStart w:id="1" w:name="_Toc536644027"/>
      <w:bookmarkStart w:id="2" w:name="_Toc285120313"/>
      <w:r>
        <w:rPr>
          <w:rFonts w:hint="eastAsia" w:ascii="宋体" w:hAnsi="宋体" w:cs="Calibri"/>
          <w:sz w:val="44"/>
          <w:szCs w:val="44"/>
          <w:lang w:val="en-US" w:eastAsia="zh-CN"/>
        </w:rPr>
        <w:t>流量计</w:t>
      </w:r>
      <w:r>
        <w:rPr>
          <w:rFonts w:hint="eastAsia" w:ascii="宋体" w:hAnsi="宋体" w:cs="Calibri"/>
          <w:sz w:val="44"/>
          <w:szCs w:val="44"/>
        </w:rPr>
        <w:t>控制系统项目</w:t>
      </w:r>
      <w:bookmarkEnd w:id="0"/>
      <w:bookmarkEnd w:id="1"/>
    </w:p>
    <w:bookmarkEnd w:id="2"/>
    <w:p w14:paraId="3AA323CE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r>
        <w:rPr>
          <w:rFonts w:hint="eastAsia" w:ascii="宋体" w:hAnsi="宋体" w:cs="Calibri"/>
          <w:sz w:val="44"/>
          <w:szCs w:val="44"/>
        </w:rPr>
        <w:t>软 件 设 计</w:t>
      </w:r>
    </w:p>
    <w:p w14:paraId="1FA1651D">
      <w:pPr>
        <w:jc w:val="center"/>
        <w:rPr>
          <w:rFonts w:hint="eastAsia" w:ascii="宋体" w:hAnsi="宋体"/>
          <w:sz w:val="44"/>
          <w:szCs w:val="44"/>
        </w:rPr>
      </w:pPr>
    </w:p>
    <w:p w14:paraId="0DB0C3C2">
      <w:pPr>
        <w:jc w:val="center"/>
        <w:rPr>
          <w:rFonts w:hint="eastAsia" w:ascii="宋体" w:hAnsi="宋体"/>
          <w:sz w:val="44"/>
          <w:szCs w:val="44"/>
        </w:rPr>
      </w:pPr>
    </w:p>
    <w:p w14:paraId="5152A21F">
      <w:pPr>
        <w:jc w:val="center"/>
        <w:rPr>
          <w:rFonts w:hint="eastAsia" w:ascii="宋体" w:hAnsi="宋体"/>
          <w:sz w:val="44"/>
          <w:szCs w:val="44"/>
        </w:rPr>
      </w:pPr>
    </w:p>
    <w:p w14:paraId="6A226563">
      <w:pPr>
        <w:jc w:val="center"/>
        <w:rPr>
          <w:rFonts w:hint="eastAsia" w:ascii="宋体" w:hAnsi="宋体"/>
          <w:sz w:val="44"/>
          <w:szCs w:val="44"/>
        </w:rPr>
      </w:pPr>
    </w:p>
    <w:p w14:paraId="449876E8">
      <w:pPr>
        <w:jc w:val="center"/>
        <w:rPr>
          <w:rFonts w:hint="eastAsia" w:ascii="宋体" w:hAnsi="宋体"/>
          <w:sz w:val="44"/>
          <w:szCs w:val="44"/>
        </w:rPr>
      </w:pPr>
    </w:p>
    <w:p w14:paraId="28168A5C">
      <w:pPr>
        <w:jc w:val="center"/>
        <w:rPr>
          <w:rFonts w:hint="eastAsia" w:ascii="宋体" w:hAnsi="宋体"/>
          <w:sz w:val="44"/>
          <w:szCs w:val="44"/>
        </w:rPr>
      </w:pPr>
    </w:p>
    <w:p w14:paraId="03C6AA5E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</w:rPr>
      </w:pPr>
      <w:r>
        <w:rPr>
          <w:rFonts w:hint="eastAsia" w:ascii="宋体" w:hAnsi="宋体" w:cs="Calibri"/>
          <w:kern w:val="0"/>
          <w:szCs w:val="24"/>
        </w:rPr>
        <w:t>名称：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流量计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控制系统    </w:t>
      </w:r>
      <w:r>
        <w:rPr>
          <w:rFonts w:ascii="宋体" w:hAnsi="宋体" w:cs="Calibri"/>
          <w:kern w:val="0"/>
          <w:szCs w:val="24"/>
          <w:u w:val="single"/>
        </w:rPr>
        <w:t xml:space="preserve">   </w:t>
      </w:r>
    </w:p>
    <w:p w14:paraId="77827B70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时间：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</w:t>
      </w:r>
      <w:r>
        <w:rPr>
          <w:rFonts w:ascii="宋体" w:hAnsi="宋体" w:cs="Calibri"/>
          <w:kern w:val="0"/>
          <w:szCs w:val="24"/>
          <w:u w:val="single"/>
        </w:rPr>
        <w:tab/>
      </w:r>
      <w:r>
        <w:rPr>
          <w:rFonts w:hint="eastAsia" w:ascii="宋体" w:hAnsi="宋体" w:cs="Calibri"/>
          <w:kern w:val="0"/>
          <w:szCs w:val="24"/>
          <w:u w:val="single"/>
        </w:rPr>
        <w:t>2026.0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9</w:t>
      </w:r>
      <w:r>
        <w:rPr>
          <w:rFonts w:hint="eastAsia" w:ascii="宋体" w:hAnsi="宋体" w:cs="Calibri"/>
          <w:kern w:val="0"/>
          <w:szCs w:val="24"/>
          <w:u w:val="single"/>
        </w:rPr>
        <w:t>.1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0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</w:t>
      </w:r>
      <w:r>
        <w:rPr>
          <w:rFonts w:ascii="宋体" w:hAnsi="宋体" w:cs="Calibri"/>
          <w:kern w:val="0"/>
          <w:szCs w:val="24"/>
          <w:u w:val="single"/>
        </w:rPr>
        <w:t xml:space="preserve"> </w:t>
      </w:r>
    </w:p>
    <w:p w14:paraId="63C666BB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编写人：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严心志            </w:t>
      </w:r>
    </w:p>
    <w:p w14:paraId="4D5FF544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审核人：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</w:t>
      </w:r>
      <w:r>
        <w:rPr>
          <w:rFonts w:ascii="宋体" w:hAnsi="宋体" w:cs="Calibri"/>
          <w:kern w:val="0"/>
          <w:szCs w:val="24"/>
          <w:u w:val="single"/>
        </w:rPr>
        <w:t xml:space="preserve">      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</w:t>
      </w:r>
      <w:r>
        <w:rPr>
          <w:rFonts w:ascii="宋体" w:hAnsi="宋体" w:cs="Calibri"/>
          <w:kern w:val="0"/>
          <w:szCs w:val="24"/>
          <w:u w:val="single"/>
        </w:rPr>
        <w:t xml:space="preserve">            </w:t>
      </w:r>
    </w:p>
    <w:p w14:paraId="755109AA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校对人：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                </w:t>
      </w:r>
    </w:p>
    <w:p w14:paraId="40ECC867">
      <w:pPr>
        <w:spacing w:after="200"/>
        <w:ind w:firstLine="1920" w:firstLineChars="800"/>
        <w:jc w:val="left"/>
        <w:rPr>
          <w:rFonts w:hint="eastAsia" w:ascii="微软雅黑" w:hAnsi="微软雅黑" w:eastAsia="微软雅黑" w:cs="Calibri"/>
          <w:kern w:val="0"/>
          <w:szCs w:val="24"/>
        </w:rPr>
      </w:pPr>
      <w:r>
        <w:rPr>
          <w:rFonts w:hint="eastAsia" w:ascii="微软雅黑" w:hAnsi="微软雅黑" w:eastAsia="微软雅黑" w:cs="Calibri"/>
          <w:kern w:val="0"/>
          <w:szCs w:val="24"/>
          <w:u w:val="single"/>
        </w:rPr>
        <w:br w:type="page"/>
      </w:r>
    </w:p>
    <w:tbl>
      <w:tblPr>
        <w:tblStyle w:val="23"/>
        <w:tblW w:w="907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078"/>
        <w:gridCol w:w="2078"/>
        <w:gridCol w:w="2311"/>
      </w:tblGrid>
      <w:tr w14:paraId="26E7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3" w:type="dxa"/>
            <w:gridSpan w:val="4"/>
            <w:vAlign w:val="center"/>
          </w:tcPr>
          <w:p w14:paraId="56D0E4D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修改记录</w:t>
            </w:r>
          </w:p>
        </w:tc>
      </w:tr>
      <w:tr w14:paraId="0A15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A9509D9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12A7803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3EEF2C5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788464A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修改内容</w:t>
            </w:r>
          </w:p>
        </w:tc>
      </w:tr>
      <w:tr w14:paraId="35E6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A5D34A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4BA0C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0792506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28E3DD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5C45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6D761A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058AB5F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4B332F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9B6938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D6B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FF8FD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53F275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2D6146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9D938F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7DF1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1BCD8B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D219C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B33BD7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AF82D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614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227D375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8C0707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9A6CAF0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EC426E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49F3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436C6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59F1E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9A17EA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383FFA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3F17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E5C187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E22589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6AD02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6358AB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1687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CD6A85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2041C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2C30B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F99B37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</w:tbl>
    <w:p w14:paraId="5E5F033C">
      <w:pPr>
        <w:spacing w:before="156" w:beforeLines="50" w:after="156" w:afterLines="50"/>
        <w:rPr>
          <w:rFonts w:hint="eastAsia" w:ascii="宋体" w:hAnsi="宋体" w:cs="Arial Unicode MS"/>
          <w:sz w:val="28"/>
          <w:szCs w:val="28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2B727333">
      <w:pPr>
        <w:spacing w:before="312" w:beforeLines="100" w:after="312" w:afterLines="100"/>
        <w:jc w:val="center"/>
        <w:outlineLvl w:val="0"/>
      </w:pPr>
      <w:bookmarkStart w:id="3" w:name="_Toc536644048"/>
      <w:bookmarkStart w:id="4" w:name="_Toc237510523"/>
      <w:r>
        <w:rPr>
          <w:rFonts w:hint="eastAsia" w:ascii="宋体" w:hAnsi="宋体"/>
          <w:b/>
          <w:iCs/>
          <w:sz w:val="44"/>
          <w:szCs w:val="32"/>
        </w:rPr>
        <w:t>目  录</w:t>
      </w:r>
      <w:bookmarkEnd w:id="3"/>
      <w:bookmarkEnd w:id="4"/>
      <w:r>
        <w:rPr>
          <w:rFonts w:ascii="宋体" w:hAnsi="宋体"/>
          <w:b/>
          <w:iCs/>
          <w:sz w:val="44"/>
          <w:szCs w:val="32"/>
        </w:rPr>
        <w:fldChar w:fldCharType="begin"/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hint="eastAsia" w:ascii="宋体" w:hAnsi="宋体"/>
          <w:b/>
          <w:iCs/>
          <w:sz w:val="44"/>
          <w:szCs w:val="32"/>
        </w:rPr>
        <w:instrText xml:space="preserve">TOC \o "1-3" \h \z \u</w:instrText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ascii="宋体" w:hAnsi="宋体"/>
          <w:b/>
          <w:iCs/>
          <w:sz w:val="44"/>
          <w:szCs w:val="32"/>
        </w:rPr>
        <w:fldChar w:fldCharType="separate"/>
      </w:r>
    </w:p>
    <w:p w14:paraId="60BA43A4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"_Toc237510523" </w:instrText>
      </w:r>
      <w:r>
        <w:fldChar w:fldCharType="separate"/>
      </w:r>
      <w:r>
        <w:rPr>
          <w:rStyle w:val="29"/>
          <w:rFonts w:ascii="宋体" w:hAnsi="宋体"/>
          <w:b/>
          <w:iCs/>
        </w:rPr>
        <w:t>目  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C1DBCB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"_Toc237510524" </w:instrText>
      </w:r>
      <w:r>
        <w:fldChar w:fldCharType="separate"/>
      </w:r>
      <w:r>
        <w:rPr>
          <w:rStyle w:val="29"/>
        </w:rPr>
        <w:t>第一章 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C19E631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"_Toc237510525" </w:instrText>
      </w:r>
      <w:r>
        <w:fldChar w:fldCharType="separate"/>
      </w:r>
      <w:r>
        <w:rPr>
          <w:rStyle w:val="29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A0D1C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"_Toc237510526" </w:instrText>
      </w:r>
      <w:r>
        <w:fldChar w:fldCharType="separate"/>
      </w:r>
      <w:r>
        <w:rPr>
          <w:rStyle w:val="29"/>
        </w:rPr>
        <w:t>1.2 项目背景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9C690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"_Toc237510527" </w:instrText>
      </w:r>
      <w:r>
        <w:fldChar w:fldCharType="separate"/>
      </w:r>
      <w:r>
        <w:rPr>
          <w:rStyle w:val="29"/>
        </w:rPr>
        <w:t>1.3 阅读人员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76120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"_Toc237510528" </w:instrText>
      </w:r>
      <w:r>
        <w:fldChar w:fldCharType="separate"/>
      </w:r>
      <w:r>
        <w:rPr>
          <w:rStyle w:val="29"/>
        </w:rPr>
        <w:t>1.4 术语定义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9F54C3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"_Toc237510529" </w:instrText>
      </w:r>
      <w:r>
        <w:fldChar w:fldCharType="separate"/>
      </w:r>
      <w:r>
        <w:rPr>
          <w:rStyle w:val="29"/>
        </w:rPr>
        <w:t>1.5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83A717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"_Toc237510530" </w:instrText>
      </w:r>
      <w:r>
        <w:fldChar w:fldCharType="separate"/>
      </w:r>
      <w:r>
        <w:rPr>
          <w:rStyle w:val="29"/>
        </w:rPr>
        <w:t>第二章 软件需求概述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ADE68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"_Toc237510531" </w:instrText>
      </w:r>
      <w:r>
        <w:fldChar w:fldCharType="separate"/>
      </w:r>
      <w:r>
        <w:rPr>
          <w:rStyle w:val="29"/>
        </w:rPr>
        <w:t>2.1 项目简介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72E78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"_Toc237510532" </w:instrText>
      </w:r>
      <w:r>
        <w:fldChar w:fldCharType="separate"/>
      </w:r>
      <w:r>
        <w:rPr>
          <w:rStyle w:val="29"/>
        </w:rPr>
        <w:t>2.2 设计目标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29B96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"_Toc237510533" </w:instrText>
      </w:r>
      <w:r>
        <w:fldChar w:fldCharType="separate"/>
      </w:r>
      <w:r>
        <w:rPr>
          <w:rStyle w:val="29"/>
        </w:rPr>
        <w:t>2.3 设计平台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BA9290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"_Toc237510534" </w:instrText>
      </w:r>
      <w:r>
        <w:fldChar w:fldCharType="separate"/>
      </w:r>
      <w:r>
        <w:rPr>
          <w:rStyle w:val="29"/>
        </w:rPr>
        <w:t>第三章 系统架构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F95841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"_Toc237510535" </w:instrText>
      </w:r>
      <w:r>
        <w:fldChar w:fldCharType="separate"/>
      </w:r>
      <w:r>
        <w:rPr>
          <w:rStyle w:val="29"/>
        </w:rPr>
        <w:t>3.1 硬件功能图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F9BD40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"_Toc237510536" </w:instrText>
      </w:r>
      <w:r>
        <w:fldChar w:fldCharType="separate"/>
      </w:r>
      <w:r>
        <w:rPr>
          <w:rStyle w:val="29"/>
        </w:rPr>
        <w:t>3.2 软件功能划分图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E17F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"_Toc237510537" </w:instrText>
      </w:r>
      <w:r>
        <w:fldChar w:fldCharType="separate"/>
      </w:r>
      <w:r>
        <w:rPr>
          <w:rStyle w:val="29"/>
        </w:rPr>
        <w:t>3.3 软件架构图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4B39A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"_Toc237510538" </w:instrText>
      </w:r>
      <w:r>
        <w:fldChar w:fldCharType="separate"/>
      </w:r>
      <w:r>
        <w:rPr>
          <w:rStyle w:val="29"/>
        </w:rPr>
        <w:t>3.4 软件运行流程图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EF6EFE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"_Toc237510539" </w:instrText>
      </w:r>
      <w:r>
        <w:fldChar w:fldCharType="separate"/>
      </w:r>
      <w:r>
        <w:rPr>
          <w:rStyle w:val="29"/>
        </w:rPr>
        <w:t>第四章 模块功能详细设计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81F05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"_Toc237510540" </w:instrText>
      </w:r>
      <w:r>
        <w:fldChar w:fldCharType="separate"/>
      </w:r>
      <w:r>
        <w:rPr>
          <w:rStyle w:val="29"/>
        </w:rPr>
        <w:t>4.1 串口屏功能模块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EF4E25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"_Toc237510541" </w:instrText>
      </w:r>
      <w:r>
        <w:fldChar w:fldCharType="separate"/>
      </w:r>
      <w:r>
        <w:rPr>
          <w:rStyle w:val="29"/>
        </w:rPr>
        <w:t>4.1.1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95AEFF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"_Toc237510542" </w:instrText>
      </w:r>
      <w:r>
        <w:fldChar w:fldCharType="separate"/>
      </w:r>
      <w:r>
        <w:rPr>
          <w:rStyle w:val="29"/>
        </w:rPr>
        <w:t>4.1.2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67200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"_Toc237510543" </w:instrText>
      </w:r>
      <w:r>
        <w:fldChar w:fldCharType="separate"/>
      </w:r>
      <w:r>
        <w:rPr>
          <w:rStyle w:val="29"/>
        </w:rPr>
        <w:t>4.2 气压传感器通讯模块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44EA56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"_Toc237510544" </w:instrText>
      </w:r>
      <w:r>
        <w:fldChar w:fldCharType="separate"/>
      </w:r>
      <w:r>
        <w:rPr>
          <w:rStyle w:val="29"/>
        </w:rPr>
        <w:t>4.2.1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DEC2C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"_Toc237510545" </w:instrText>
      </w:r>
      <w:r>
        <w:fldChar w:fldCharType="separate"/>
      </w:r>
      <w:r>
        <w:rPr>
          <w:rStyle w:val="29"/>
        </w:rPr>
        <w:t>4.2.2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E233F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"_Toc237510546" </w:instrText>
      </w:r>
      <w:r>
        <w:fldChar w:fldCharType="separate"/>
      </w:r>
      <w:r>
        <w:rPr>
          <w:rStyle w:val="29"/>
        </w:rPr>
        <w:t>4.3 外部通讯模块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F05A0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"_Toc237510547" </w:instrText>
      </w:r>
      <w:r>
        <w:fldChar w:fldCharType="separate"/>
      </w:r>
      <w:r>
        <w:rPr>
          <w:rStyle w:val="29"/>
        </w:rPr>
        <w:t>4.3.1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B9B8F2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"_Toc237510548" </w:instrText>
      </w:r>
      <w:r>
        <w:fldChar w:fldCharType="separate"/>
      </w:r>
      <w:r>
        <w:rPr>
          <w:rStyle w:val="29"/>
        </w:rPr>
        <w:t>4.3.2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F8FAF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"_Toc237510549" </w:instrText>
      </w:r>
      <w:r>
        <w:fldChar w:fldCharType="separate"/>
      </w:r>
      <w:r>
        <w:rPr>
          <w:rStyle w:val="29"/>
        </w:rPr>
        <w:t>4.4 电磁阀控制模块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ECD233">
      <w:pPr>
        <w:pStyle w:val="18"/>
        <w:tabs>
          <w:tab w:val="right" w:leader="dot" w:pos="8302"/>
        </w:tabs>
        <w:spacing w:line="400" w:lineRule="exact"/>
        <w:ind w:left="0" w:leftChars="0"/>
        <w:rPr>
          <w:rFonts w:hint="eastAsia" w:ascii="宋体" w:hAnsi="宋体"/>
        </w:rPr>
      </w:pPr>
      <w:r>
        <w:rPr>
          <w:rFonts w:ascii="宋体" w:hAnsi="宋体" w:cs="Arial Unicode MS"/>
          <w:sz w:val="28"/>
          <w:szCs w:val="28"/>
        </w:rPr>
        <w:fldChar w:fldCharType="end"/>
      </w:r>
      <w:r>
        <w:rPr>
          <w:rFonts w:ascii="宋体" w:hAnsi="宋体"/>
        </w:rPr>
        <w:t xml:space="preserve"> </w:t>
      </w:r>
    </w:p>
    <w:p w14:paraId="1348BE67">
      <w:pPr>
        <w:ind w:right="1120"/>
        <w:rPr>
          <w:rFonts w:hint="eastAsia" w:ascii="宋体" w:hAnsi="宋体" w:cs="Arial Unicode MS"/>
          <w:sz w:val="28"/>
          <w:szCs w:val="28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440" w:right="1800" w:bottom="1440" w:left="1800" w:header="851" w:footer="992" w:gutter="0"/>
          <w:pgNumType w:start="0"/>
          <w:cols w:space="720" w:num="1"/>
          <w:docGrid w:type="lines" w:linePitch="312" w:charSpace="0"/>
        </w:sectPr>
      </w:pPr>
    </w:p>
    <w:p w14:paraId="68BD4105">
      <w:pPr>
        <w:pStyle w:val="2"/>
        <w:jc w:val="center"/>
      </w:pPr>
      <w:bookmarkStart w:id="5" w:name="_Toc237510524"/>
      <w:r>
        <w:rPr>
          <w:rFonts w:hint="eastAsia"/>
        </w:rPr>
        <w:t>引言</w:t>
      </w:r>
      <w:bookmarkEnd w:id="5"/>
    </w:p>
    <w:p w14:paraId="3F744138">
      <w:pPr>
        <w:pStyle w:val="3"/>
      </w:pPr>
      <w:bookmarkStart w:id="6" w:name="_Toc237510525"/>
      <w:r>
        <w:rPr>
          <w:rFonts w:hint="eastAsia"/>
        </w:rPr>
        <w:t>编写目的</w:t>
      </w:r>
      <w:bookmarkEnd w:id="6"/>
    </w:p>
    <w:p w14:paraId="69F6EA77">
      <w:pPr>
        <w:keepNext w:val="0"/>
        <w:keepLines w:val="0"/>
        <w:widowControl/>
        <w:suppressLineNumbers w:val="0"/>
        <w:ind w:firstLine="472" w:firstLineChars="200"/>
        <w:jc w:val="left"/>
        <w:rPr>
          <w:rFonts w:ascii="Segoe UI" w:hAnsi="Segoe UI" w:eastAsia="Segoe UI" w:cs="Segoe UI"/>
          <w:color w:val="000000"/>
          <w:spacing w:val="-2"/>
          <w:szCs w:val="24"/>
          <w:shd w:val="clear" w:color="auto" w:fill="FFFFFF"/>
        </w:rPr>
      </w:pPr>
      <w:bookmarkStart w:id="39" w:name="_GoBack"/>
      <w:bookmarkEnd w:id="39"/>
      <w:r>
        <w:rPr>
          <w:rFonts w:hint="eastAsia" w:ascii="宋体" w:hAnsi="宋体" w:cs="微软雅黑"/>
          <w:color w:val="000000"/>
          <w:spacing w:val="-2"/>
          <w:szCs w:val="24"/>
          <w:shd w:val="clear" w:color="auto" w:fill="FFFFFF"/>
        </w:rPr>
        <w:t>说明书用于定义六</w:t>
      </w:r>
      <w:r>
        <w:rPr>
          <w:rFonts w:hint="eastAsia" w:ascii="宋体" w:hAnsi="宋体" w:cs="微软雅黑"/>
          <w:color w:val="000000"/>
          <w:spacing w:val="-2"/>
          <w:szCs w:val="24"/>
          <w:shd w:val="clear" w:color="auto" w:fill="FFFFFF"/>
          <w:lang w:val="en-US" w:eastAsia="zh-CN"/>
        </w:rPr>
        <w:t>个热式数字质量流量控制器</w:t>
      </w:r>
      <w:r>
        <w:rPr>
          <w:rFonts w:hint="eastAsia" w:ascii="宋体" w:hAnsi="宋体" w:cs="微软雅黑"/>
          <w:color w:val="000000"/>
          <w:spacing w:val="-2"/>
          <w:szCs w:val="24"/>
          <w:shd w:val="clear" w:color="auto" w:fill="FFFFFF"/>
        </w:rPr>
        <w:t>气源控制系统的功能边界、系统需求、硬件与软件架构、模块接口、状态机、通信、异常处理和测试方法。文档既作为嵌入式软件开发依据，也作为HMI 画面、现场联调和后续版本维护的统一参考。</w:t>
      </w:r>
    </w:p>
    <w:p w14:paraId="408DD15D">
      <w:pPr>
        <w:pStyle w:val="3"/>
      </w:pPr>
      <w:bookmarkStart w:id="7" w:name="_Toc237510526"/>
      <w:r>
        <w:rPr>
          <w:rFonts w:hint="eastAsia"/>
        </w:rPr>
        <w:t>项目背景</w:t>
      </w:r>
      <w:bookmarkEnd w:id="7"/>
    </w:p>
    <w:p w14:paraId="1BA5B979">
      <w:pPr>
        <w:ind w:firstLine="420"/>
      </w:pPr>
      <w:r>
        <w:t>设备</w:t>
      </w:r>
      <w:r>
        <w:rPr>
          <w:rFonts w:hint="eastAsia"/>
          <w:lang w:val="en-US" w:eastAsia="zh-CN"/>
        </w:rPr>
        <w:t>需要控制六个</w:t>
      </w:r>
      <w:r>
        <w:t>。为降低人工切换频率并避免使用过程中因单瓶耗尽造成长时间停机，系统采用 6 瓶轮换供气模式。每路气瓶配置压力监测、减压、供气电磁阀以及换瓶后的排空/吹扫通路，通过 MCU 实现自动切瓶、状态显示、报警和集中通信。</w:t>
      </w:r>
    </w:p>
    <w:p w14:paraId="3FC924E2">
      <w:pPr>
        <w:ind w:firstLine="420"/>
      </w:pPr>
      <w:r>
        <w:t>项目核心约束包括：硬件平台限定为瑞萨</w:t>
      </w:r>
      <w:r>
        <w:rPr>
          <w:rFonts w:hint="eastAsia"/>
        </w:rPr>
        <w:t>R7FA4M1AB3CFP</w:t>
      </w:r>
      <w:r>
        <w:t>微控制器（搭载</w:t>
      </w:r>
      <w:r>
        <w:rPr>
          <w:rFonts w:hint="eastAsia"/>
        </w:rPr>
        <w:t>48</w:t>
      </w:r>
      <w:r>
        <w:t>MHz Arm® Cortex®-M</w:t>
      </w:r>
      <w:r>
        <w:rPr>
          <w:rFonts w:hint="eastAsia"/>
        </w:rPr>
        <w:t>4</w:t>
      </w:r>
      <w:r>
        <w:t>内核，</w:t>
      </w:r>
      <w:r>
        <w:rPr>
          <w:rFonts w:hint="eastAsia"/>
        </w:rPr>
        <w:t>256K</w:t>
      </w:r>
      <w:r>
        <w:t>B Flash，</w:t>
      </w:r>
      <w:r>
        <w:rPr>
          <w:rFonts w:hint="eastAsia"/>
        </w:rPr>
        <w:t>32</w:t>
      </w:r>
      <w:r>
        <w:t>KB SRAM）；为保障触控流畅性，对触摸事件的响应延迟需低于50毫秒；为满足</w:t>
      </w:r>
      <w:r>
        <w:rPr>
          <w:rFonts w:hint="eastAsia"/>
        </w:rPr>
        <w:t>工业级</w:t>
      </w:r>
      <w:r>
        <w:t>能效标准，系统在待机模式下的功耗必须小于</w:t>
      </w:r>
      <w:r>
        <w:rPr>
          <w:rFonts w:hint="eastAsia"/>
          <w:lang w:val="en-US" w:eastAsia="zh-CN"/>
        </w:rPr>
        <w:t>100W</w:t>
      </w:r>
      <w:r>
        <w:t>；所有软件设计需考虑产品的长期可靠性要求，确保在-</w:t>
      </w:r>
      <w:r>
        <w:rPr>
          <w:rFonts w:hint="eastAsia"/>
          <w:lang w:val="en-US" w:eastAsia="zh-CN"/>
        </w:rPr>
        <w:t>1</w:t>
      </w:r>
      <w:r>
        <w:t>0℃ 至 +</w:t>
      </w:r>
      <w:r>
        <w:rPr>
          <w:rFonts w:hint="eastAsia"/>
          <w:lang w:val="en-US" w:eastAsia="zh-CN"/>
        </w:rPr>
        <w:t>40</w:t>
      </w:r>
      <w:r>
        <w:t>℃的环境温度下稳定工作。这些硬件资源与性能指标是本次软件设计的根本约束条件。</w:t>
      </w:r>
    </w:p>
    <w:p w14:paraId="2298C859">
      <w:pPr>
        <w:ind w:firstLine="420"/>
      </w:pPr>
      <w:r>
        <w:rPr>
          <w:rFonts w:hint="eastAsia"/>
        </w:rPr>
        <w:t>系统目标：</w:t>
      </w:r>
      <w:r>
        <w:t>正常情况下保持 1 个气瓶处于 ACTIVE</w:t>
      </w:r>
      <w:r>
        <w:rPr>
          <w:rFonts w:hint="eastAsia"/>
        </w:rPr>
        <w:t>（当前参与供气）</w:t>
      </w:r>
      <w:r>
        <w:t xml:space="preserve"> 工作状态，其余可用气瓶处于 READY </w:t>
      </w:r>
      <w:r>
        <w:rPr>
          <w:rFonts w:hint="eastAsia"/>
        </w:rPr>
        <w:t>（已确认可使用）</w:t>
      </w:r>
      <w:r>
        <w:t>备用状态。实时采集 6 路钢瓶压力以及公共总管压力，并区分有效数据、通讯故障和超量程。当前瓶压力达到切换条件后，自动查找下一只 READY 气瓶并执行受控切换。切换下来的气瓶明确提示工作人员更换；新瓶未吹扫前不得加入备用队列。提供 HMI 本地监控、参数设置、手动维护、报警确认以及 RS485/CAN 对外通信。控制软件采用非阻塞状态机和硬件抽象层，便于后续更换 MCU 或底层驱动。</w:t>
      </w:r>
    </w:p>
    <w:p w14:paraId="5A4AB46E">
      <w:pPr>
        <w:ind w:firstLine="420"/>
      </w:pPr>
    </w:p>
    <w:p w14:paraId="7EF8BF57">
      <w:pPr>
        <w:pStyle w:val="3"/>
      </w:pPr>
      <w:bookmarkStart w:id="8" w:name="_Toc237510527"/>
      <w:r>
        <w:rPr>
          <w:rFonts w:hint="eastAsia"/>
        </w:rPr>
        <w:t>阅读人员</w:t>
      </w:r>
      <w:bookmarkEnd w:id="8"/>
    </w:p>
    <w:p w14:paraId="27D17594">
      <w:pPr>
        <w:rPr>
          <w:rFonts w:hint="eastAsia" w:ascii="宋体" w:hAnsi="宋体"/>
          <w:szCs w:val="28"/>
        </w:rPr>
      </w:pPr>
      <w:r>
        <w:tab/>
      </w:r>
      <w:r>
        <w:rPr>
          <w:rFonts w:hint="eastAsia" w:ascii="宋体" w:hAnsi="宋体"/>
          <w:szCs w:val="28"/>
        </w:rPr>
        <w:t>预期参考人员包括测试人员、开发人员、项目管理人员、研发部门经理、高层经理等。</w:t>
      </w:r>
    </w:p>
    <w:p w14:paraId="299863BE">
      <w:pPr>
        <w:pStyle w:val="3"/>
      </w:pPr>
      <w:bookmarkStart w:id="9" w:name="_Toc237510528"/>
      <w:r>
        <w:rPr>
          <w:rFonts w:hint="eastAsia"/>
        </w:rPr>
        <w:t>术语定义</w:t>
      </w:r>
      <w:bookmarkEnd w:id="9"/>
    </w:p>
    <w:tbl>
      <w:tblPr>
        <w:tblStyle w:val="23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64"/>
      </w:tblGrid>
      <w:tr w14:paraId="55F7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637339C">
            <w:r>
              <w:rPr>
                <w:rFonts w:hint="eastAsia"/>
              </w:rPr>
              <w:t>专业词汇</w:t>
            </w:r>
          </w:p>
        </w:tc>
        <w:tc>
          <w:tcPr>
            <w:tcW w:w="8364" w:type="dxa"/>
          </w:tcPr>
          <w:p w14:paraId="1EC3BB5E">
            <w:r>
              <w:rPr>
                <w:rFonts w:hint="eastAsia"/>
              </w:rPr>
              <w:t>详细描述</w:t>
            </w:r>
          </w:p>
        </w:tc>
      </w:tr>
      <w:tr w14:paraId="1B5C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09448B2"/>
        </w:tc>
        <w:tc>
          <w:tcPr>
            <w:tcW w:w="8364" w:type="dxa"/>
          </w:tcPr>
          <w:p w14:paraId="73B5AA87"/>
        </w:tc>
      </w:tr>
      <w:tr w14:paraId="6877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3FAE108">
            <w:pPr>
              <w:ind w:firstLine="420"/>
            </w:pPr>
          </w:p>
        </w:tc>
        <w:tc>
          <w:tcPr>
            <w:tcW w:w="8364" w:type="dxa"/>
          </w:tcPr>
          <w:p w14:paraId="3A97B13F"/>
        </w:tc>
      </w:tr>
      <w:tr w14:paraId="1058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B83B497"/>
        </w:tc>
        <w:tc>
          <w:tcPr>
            <w:tcW w:w="8364" w:type="dxa"/>
          </w:tcPr>
          <w:p w14:paraId="16B3F207"/>
        </w:tc>
      </w:tr>
      <w:tr w14:paraId="151F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83C886C"/>
        </w:tc>
        <w:tc>
          <w:tcPr>
            <w:tcW w:w="8364" w:type="dxa"/>
          </w:tcPr>
          <w:p w14:paraId="054A7965"/>
        </w:tc>
      </w:tr>
    </w:tbl>
    <w:p w14:paraId="7F7745A7"/>
    <w:p w14:paraId="1DB80F7B">
      <w:pPr>
        <w:pStyle w:val="3"/>
      </w:pPr>
      <w:bookmarkStart w:id="10" w:name="_Toc237510529"/>
      <w:r>
        <w:rPr>
          <w:rFonts w:hint="eastAsia"/>
        </w:rPr>
        <w:t>参考资料</w:t>
      </w:r>
      <w:bookmarkEnd w:id="10"/>
    </w:p>
    <w:p w14:paraId="3936A63E">
      <w:pPr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br w:type="page"/>
      </w:r>
    </w:p>
    <w:p w14:paraId="00947A16">
      <w:pPr>
        <w:pStyle w:val="2"/>
        <w:jc w:val="center"/>
      </w:pPr>
      <w:bookmarkStart w:id="11" w:name="_Toc237510530"/>
      <w:r>
        <w:rPr>
          <w:rFonts w:hint="eastAsia"/>
        </w:rPr>
        <w:t>软件需求概述</w:t>
      </w:r>
      <w:bookmarkEnd w:id="11"/>
    </w:p>
    <w:p w14:paraId="5B1C3E23">
      <w:pPr>
        <w:pStyle w:val="3"/>
      </w:pPr>
      <w:bookmarkStart w:id="12" w:name="_Toc237510531"/>
      <w:r>
        <w:rPr>
          <w:rFonts w:hint="eastAsia"/>
        </w:rPr>
        <w:t>项目简介</w:t>
      </w:r>
      <w:bookmarkEnd w:id="12"/>
    </w:p>
    <w:p w14:paraId="65889BA2">
      <w:pPr>
        <w:ind w:firstLine="420"/>
      </w:pPr>
      <w:r>
        <w:t>本项目面向多瓶标准气自动供气应用，设计一套基于 MCU 的气源自动控制系统。系统由 6 个相同气源钢瓶组成，采用“一用五备”的工作方式，在正常运行过程中始终保持 1 个气瓶处于供气状态，其余气瓶作为备用气源。当当前工作气瓶压力降低至设定切换阈值时，控制系统根据各气瓶的压力状态和可用状态，自动选择下一只满足条件的备用气瓶进行切换，从而保证气源系统能够连续、稳定运行。</w:t>
      </w:r>
    </w:p>
    <w:p w14:paraId="44C76FC4">
      <w:pPr>
        <w:ind w:firstLine="420"/>
      </w:pPr>
      <w:r>
        <w:t>每个气瓶配置独立压力传感器，用于实时监测钢瓶内部压力。压力传感器通过 RS485 总线采用 Modbus 协议与主控制器进行数据通信。当当前工作气瓶压力低于 1.</w:t>
      </w:r>
      <w:r>
        <w:rPr>
          <w:rFonts w:hint="eastAsia"/>
          <w:lang w:val="en-US" w:eastAsia="zh-CN"/>
        </w:rPr>
        <w:t>5</w:t>
      </w:r>
      <w:r>
        <w:t xml:space="preserve"> MPa 并满足持续时间判定条件后，系统触发自动切瓶流程。气瓶切换完成后，原工作气瓶进入待更换状态，并通过人机界面向工作人员发出换瓶提示。</w:t>
      </w:r>
    </w:p>
    <w:p w14:paraId="32178AD8">
      <w:pPr>
        <w:ind w:firstLine="420"/>
      </w:pPr>
      <w:r>
        <w:t>新气瓶安装完成后，为避免换瓶过程中进入支路管道的空气直接进入公共供气管路，系统设置独立的排气控制功能。工作人员完成换瓶并进行确认后，系统首先检测新瓶压力是否满足要求，随后进入吹扫流程，通过新瓶气体对连接支路中的残余空气进行置换。只有吹扫流程正常完成后，该气瓶才重新进入备用状态，参与后续自动切换。</w:t>
      </w:r>
    </w:p>
    <w:p w14:paraId="4C3655BD">
      <w:pPr>
        <w:ind w:firstLine="420"/>
      </w:pPr>
      <w:r>
        <w:t>软件系统</w:t>
      </w:r>
      <w:r>
        <w:rPr>
          <w:rFonts w:hint="eastAsia"/>
        </w:rPr>
        <w:t>以</w:t>
      </w:r>
      <w:r>
        <w:t>瑞萨RA4M</w:t>
      </w:r>
      <w:r>
        <w:rPr>
          <w:rFonts w:hint="eastAsia"/>
        </w:rPr>
        <w:t>1</w:t>
      </w:r>
      <w:r>
        <w:t>微控制器作为核心处理单元</w:t>
      </w:r>
      <w:r>
        <w:rPr>
          <w:rFonts w:hint="eastAsia"/>
        </w:rPr>
        <w:t>：</w:t>
      </w:r>
      <w:r>
        <w:t>主要包括压力采集、气瓶状态管理、阀门控制、自动切瓶、换瓶与排气、报警管理、人机交互、通信管理、参数管理以及故障恢复等功能模块。系统同时支持自动、手动和维护等工作模式，以满足正常运行、人工干预和设备调试等不同应用场景。</w:t>
      </w:r>
    </w:p>
    <w:p w14:paraId="5B840242">
      <w:pPr>
        <w:ind w:firstLine="420"/>
        <w:rPr>
          <w:rFonts w:hint="eastAsia" w:ascii="宋体" w:hAnsi="宋体" w:cs="宋体"/>
          <w:szCs w:val="24"/>
        </w:rPr>
      </w:pPr>
      <w:r>
        <w:t>通过软硬件协同设计，实现对多瓶气源状态的统一监测和自动管理，提高气源切换过程的自动化程度和运行可靠性，减少人工操作量，并为后续设备扩展、状态监控及远程通信提供软件基础。</w:t>
      </w:r>
    </w:p>
    <w:p w14:paraId="72578C91">
      <w:pPr>
        <w:pStyle w:val="3"/>
      </w:pPr>
      <w:bookmarkStart w:id="13" w:name="_Toc237510532"/>
      <w:r>
        <w:rPr>
          <w:rFonts w:hint="eastAsia"/>
        </w:rPr>
        <w:t>设计目标</w:t>
      </w:r>
      <w:bookmarkEnd w:id="13"/>
    </w:p>
    <w:p w14:paraId="23B89AC7">
      <w:pPr>
        <w:adjustRightInd w:val="0"/>
        <w:snapToGrid w:val="0"/>
        <w:ind w:firstLine="480" w:firstLineChars="200"/>
      </w:pPr>
      <w:r>
        <w:t>本项目软件设计的总体目标是建立一套结构清晰、运行稳定、具有较高可靠性和可扩展性的多瓶气源自动控制软件，实现气瓶压力实时监测、自动切换、换瓶提示、管路吹扫</w:t>
      </w:r>
      <w:r>
        <w:rPr>
          <w:rFonts w:hint="eastAsia"/>
        </w:rPr>
        <w:t>（排气）</w:t>
      </w:r>
      <w:r>
        <w:t>和故障报警等功能，使气源系统能够按照预定控制逻辑长期稳定运行。</w:t>
      </w:r>
    </w:p>
    <w:p w14:paraId="7C1680C2">
      <w:pPr>
        <w:adjustRightInd w:val="0"/>
        <w:snapToGrid w:val="0"/>
        <w:ind w:firstLine="480" w:firstLineChars="200"/>
      </w:pPr>
      <w:r>
        <w:t>具体设计目标如下：</w:t>
      </w:r>
    </w:p>
    <w:p w14:paraId="065682B9">
      <w:pPr>
        <w:adjustRightInd w:val="0"/>
        <w:snapToGrid w:val="0"/>
        <w:ind w:firstLine="480" w:firstLineChars="200"/>
      </w:pPr>
      <w:r>
        <w:rPr>
          <w:rFonts w:hint="eastAsia"/>
        </w:rPr>
        <w:t>1.</w:t>
      </w:r>
      <w:r>
        <w:t>实现气瓶压力实时监测</w:t>
      </w:r>
      <w:r>
        <w:br w:type="textWrapping"/>
      </w:r>
      <w:r>
        <w:rPr>
          <w:rFonts w:hint="eastAsia"/>
        </w:rPr>
        <w:t xml:space="preserve">    </w:t>
      </w:r>
      <w:r>
        <w:t xml:space="preserve">通过 RS485/Modbus RTU 周期性采集 6 路钢瓶压力数据，对压力数据进行有效性判断、通信异常检测和状态更新，为自动切瓶及报警功能提供可靠的数据基础。 </w:t>
      </w:r>
    </w:p>
    <w:p w14:paraId="3FE1AA94">
      <w:pPr>
        <w:adjustRightInd w:val="0"/>
        <w:snapToGrid w:val="0"/>
        <w:ind w:firstLine="480" w:firstLineChars="200"/>
      </w:pPr>
      <w:r>
        <w:rPr>
          <w:rFonts w:hint="eastAsia"/>
        </w:rPr>
        <w:t>2.</w:t>
      </w:r>
      <w:r>
        <w:t>实现气源自动切换</w:t>
      </w:r>
      <w:r>
        <w:br w:type="textWrapping"/>
      </w:r>
      <w:r>
        <w:t>系统能够实时监测当前工作气瓶压力。当压力降低至 1.</w:t>
      </w:r>
      <w:r>
        <w:rPr>
          <w:rFonts w:hint="eastAsia"/>
          <w:lang w:val="en-US" w:eastAsia="zh-CN"/>
        </w:rPr>
        <w:t>5</w:t>
      </w:r>
      <w:r>
        <w:t xml:space="preserve"> MPa 以下并持续满足设定确认时间后，自动查找处于可用状态的备用气瓶，并按照规定流程完成供气气瓶切换，减少人工切换操作。 </w:t>
      </w:r>
    </w:p>
    <w:p w14:paraId="4F59D285">
      <w:pPr>
        <w:adjustRightInd w:val="0"/>
        <w:snapToGrid w:val="0"/>
        <w:ind w:firstLine="480" w:firstLineChars="200"/>
      </w:pPr>
      <w:r>
        <w:rPr>
          <w:rFonts w:hint="eastAsia"/>
        </w:rPr>
        <w:t>3.</w:t>
      </w:r>
      <w:r>
        <w:t>建立完整的气瓶状态管理机制</w:t>
      </w:r>
      <w:r>
        <w:br w:type="textWrapping"/>
      </w:r>
      <w:r>
        <w:t>每个气瓶均具有独立的软件状态，包括备用、供气、低压、待更换、</w:t>
      </w:r>
      <w:r>
        <w:rPr>
          <w:rFonts w:hint="eastAsia"/>
          <w:lang w:val="en-US" w:eastAsia="zh-CN"/>
        </w:rPr>
        <w:t>停用</w:t>
      </w:r>
      <w:r>
        <w:t xml:space="preserve">等状态。系统根据压力、阀门、人工操作和通信状态完成气瓶状态转换，避免状态混乱或错误气瓶参与自动切换。 </w:t>
      </w:r>
    </w:p>
    <w:p w14:paraId="43EE2197">
      <w:pPr>
        <w:adjustRightInd w:val="0"/>
        <w:snapToGrid w:val="0"/>
        <w:ind w:firstLine="480" w:firstLineChars="200"/>
      </w:pPr>
      <w:r>
        <w:rPr>
          <w:rFonts w:hint="eastAsia"/>
        </w:rPr>
        <w:t>4.</w:t>
      </w:r>
      <w:r>
        <w:t>实现换瓶后的安全</w:t>
      </w:r>
      <w:r>
        <w:rPr>
          <w:rFonts w:hint="eastAsia"/>
          <w:lang w:val="en-US" w:eastAsia="zh-CN"/>
        </w:rPr>
        <w:t>排气</w:t>
      </w:r>
      <w:r>
        <w:t>管理</w:t>
      </w:r>
      <w:r>
        <w:br w:type="textWrapping"/>
      </w:r>
      <w:r>
        <w:t>气瓶更换完成后，新瓶不能直接进入备用状态。系统应首先验证新瓶压力，再按照设定的吹扫流程控制排气阀动作，</w:t>
      </w:r>
      <w:r>
        <w:rPr>
          <w:rFonts w:hint="eastAsia"/>
          <w:lang w:val="en-US" w:eastAsia="zh-CN"/>
        </w:rPr>
        <w:t>由人员手动进行排气工作，</w:t>
      </w:r>
      <w:r>
        <w:t>将连接支路中的空气进行置换。</w:t>
      </w:r>
      <w:r>
        <w:rPr>
          <w:rFonts w:hint="eastAsia"/>
          <w:lang w:val="en-US" w:eastAsia="zh-CN"/>
        </w:rPr>
        <w:t>排气</w:t>
      </w:r>
      <w:r>
        <w:t xml:space="preserve">完成后，气瓶才允许重新进入备用队列。 </w:t>
      </w:r>
    </w:p>
    <w:p w14:paraId="218B7F90">
      <w:pPr>
        <w:adjustRightInd w:val="0"/>
        <w:snapToGrid w:val="0"/>
        <w:ind w:firstLine="480" w:firstLineChars="200"/>
      </w:pPr>
      <w:r>
        <w:rPr>
          <w:rFonts w:hint="eastAsia"/>
        </w:rPr>
        <w:t>5.</w:t>
      </w:r>
      <w:r>
        <w:t>实现可靠的阀门控制与软件互锁</w:t>
      </w:r>
      <w:r>
        <w:br w:type="textWrapping"/>
      </w:r>
      <w:r>
        <w:t xml:space="preserve">系统应对供气阀和排气阀进行统一管理，避免同一支路的供气阀与排气阀同时打开，并对多个供气阀异常同时打开等情况进行限制和报警，降低误操作风险。 </w:t>
      </w:r>
    </w:p>
    <w:p w14:paraId="7FA98BC1">
      <w:pPr>
        <w:adjustRightInd w:val="0"/>
        <w:snapToGrid w:val="0"/>
        <w:ind w:firstLine="480" w:firstLineChars="200"/>
      </w:pPr>
      <w:r>
        <w:rPr>
          <w:rFonts w:hint="eastAsia"/>
        </w:rPr>
        <w:t>6.</w:t>
      </w:r>
      <w:r>
        <w:t>实现完善的故障检测和报警功能</w:t>
      </w:r>
      <w:r>
        <w:br w:type="textWrapping"/>
      </w:r>
      <w:r>
        <w:t>软件应能够识别压力异常、Modbus 通信异常、无可用备用瓶、阀门动作异常等情况，并通过 H</w:t>
      </w:r>
      <w:r>
        <w:rPr>
          <w:rFonts w:hint="eastAsia"/>
          <w:lang w:val="en-US" w:eastAsia="zh-CN"/>
        </w:rPr>
        <w:t>MI</w:t>
      </w:r>
      <w:r>
        <w:t xml:space="preserve">向工作人员提供明确的故障提示。 </w:t>
      </w:r>
    </w:p>
    <w:p w14:paraId="26636027">
      <w:pPr>
        <w:adjustRightInd w:val="0"/>
        <w:snapToGrid w:val="0"/>
        <w:ind w:firstLine="480" w:firstLineChars="200"/>
      </w:pPr>
      <w:r>
        <w:rPr>
          <w:rFonts w:hint="eastAsia"/>
        </w:rPr>
        <w:t>7.</w:t>
      </w:r>
      <w:r>
        <w:t>支持多种工作模式</w:t>
      </w:r>
      <w:r>
        <w:br w:type="textWrapping"/>
      </w:r>
      <w:r>
        <w:t xml:space="preserve">系统应具备自动模式、手动模式和维护模式。正常运行时由软件自动完成气瓶监测与切换；调试或维护过程中允许工作人员对指定气瓶和阀门进行人工操作，同时保留必要的安全互锁功能。 </w:t>
      </w:r>
    </w:p>
    <w:p w14:paraId="4D6C8784">
      <w:pPr>
        <w:adjustRightInd w:val="0"/>
        <w:snapToGrid w:val="0"/>
        <w:ind w:firstLine="480" w:firstLineChars="200"/>
      </w:pPr>
      <w:r>
        <w:rPr>
          <w:rFonts w:hint="eastAsia"/>
        </w:rPr>
        <w:t>8.</w:t>
      </w:r>
      <w:r>
        <w:t>提高软件的可维护性和可扩展性</w:t>
      </w:r>
      <w:r>
        <w:br w:type="textWrapping"/>
      </w:r>
      <w:r>
        <w:t xml:space="preserve">软件采用模块化、分层化设计，将业务控制逻辑与底层硬件驱动分离。压力阈值、吹扫时间、通信参数等关键参数采用统一配置方式，便于后续更换 MCU、压力传感器、阀门或增加通信接口时进行扩展。 </w:t>
      </w:r>
    </w:p>
    <w:p w14:paraId="5797BA81">
      <w:pPr>
        <w:adjustRightInd w:val="0"/>
        <w:snapToGrid w:val="0"/>
        <w:ind w:firstLine="480" w:firstLineChars="200"/>
      </w:pPr>
      <w:r>
        <w:rPr>
          <w:rFonts w:hint="eastAsia"/>
        </w:rPr>
        <w:t>9.</w:t>
      </w:r>
      <w:r>
        <w:t>保证系统长期稳定运行</w:t>
      </w:r>
      <w:r>
        <w:br w:type="textWrapping"/>
      </w:r>
      <w:r>
        <w:t xml:space="preserve">软件采用非阻塞状态机完成自动切瓶和吹扫等过程，并设置看门狗、通信超时、异常恢复和掉电数据保存等机制，降低程序异常、通信故障和掉电对系统运行造成的影响。 </w:t>
      </w:r>
    </w:p>
    <w:p w14:paraId="72DAC1C0">
      <w:pPr>
        <w:adjustRightInd w:val="0"/>
        <w:snapToGrid w:val="0"/>
        <w:ind w:firstLine="480" w:firstLineChars="200"/>
      </w:pPr>
      <w:r>
        <w:t>综上，本系统的设计目标不仅是完成 6 路气瓶的基本自动切换功能，还需要建立一套完整的气瓶生命周期管理和异常处理机制，使气源控制系统具备较好的自动化、可靠性、安全性、可维护性和可扩展性。</w:t>
      </w:r>
    </w:p>
    <w:p w14:paraId="4D47C940"/>
    <w:p w14:paraId="560088AC">
      <w:pPr>
        <w:pStyle w:val="3"/>
      </w:pPr>
      <w:bookmarkStart w:id="14" w:name="_Toc237510533"/>
      <w:bookmarkStart w:id="15" w:name="_Toc188631761"/>
      <w:r>
        <w:rPr>
          <w:rFonts w:hint="eastAsia"/>
        </w:rPr>
        <w:t>设计平台</w:t>
      </w:r>
      <w:bookmarkEnd w:id="14"/>
      <w:bookmarkEnd w:id="15"/>
    </w:p>
    <w:p w14:paraId="6D8801F4">
      <w:r>
        <w:rPr>
          <w:rFonts w:hint="eastAsia"/>
        </w:rPr>
        <w:t>1.</w:t>
      </w:r>
      <w:r>
        <w:t>硬件平台</w:t>
      </w:r>
    </w:p>
    <w:p w14:paraId="15BFD4D2">
      <w:r>
        <w:t xml:space="preserve">主控微控制器：瑞萨电子 </w:t>
      </w:r>
      <w:r>
        <w:rPr>
          <w:rFonts w:hint="eastAsia"/>
        </w:rPr>
        <w:t>R7FA4M1AB3CFP</w:t>
      </w:r>
      <w:r>
        <w:t xml:space="preserve"> </w:t>
      </w:r>
    </w:p>
    <w:p w14:paraId="7B543468">
      <w:r>
        <w:t>显示屏模块：</w:t>
      </w:r>
      <w:r>
        <w:rPr>
          <w:rFonts w:hint="eastAsia"/>
          <w:lang w:val="en-US" w:eastAsia="zh-CN"/>
        </w:rPr>
        <w:t>10</w:t>
      </w:r>
      <w:r>
        <w:t>.1英寸IPS TFT液晶屏</w:t>
      </w:r>
      <w:r>
        <w:rPr>
          <w:rFonts w:hint="eastAsia"/>
          <w:lang w:val="en-US" w:eastAsia="zh-CN"/>
        </w:rPr>
        <w:t>型号DC10600PM101</w:t>
      </w:r>
      <w:r>
        <w:t>，分辨率</w:t>
      </w:r>
      <w:r>
        <w:rPr>
          <w:rFonts w:hint="eastAsia"/>
          <w:lang w:val="en-US" w:eastAsia="zh-CN"/>
        </w:rPr>
        <w:t>1024</w:t>
      </w:r>
      <w:r>
        <w:t xml:space="preserve"> * </w:t>
      </w:r>
      <w:r>
        <w:rPr>
          <w:rFonts w:hint="eastAsia"/>
          <w:lang w:val="en-US" w:eastAsia="zh-CN"/>
        </w:rPr>
        <w:t>600</w:t>
      </w:r>
      <w:r>
        <w:t>，</w:t>
      </w:r>
      <w:r>
        <w:rPr>
          <w:rFonts w:hint="eastAsia"/>
          <w:lang w:val="en-US" w:eastAsia="zh-CN"/>
        </w:rPr>
        <w:t>通讯波特率支持1200-921600bps</w:t>
      </w:r>
      <w:r>
        <w:t>，</w:t>
      </w:r>
      <w:r>
        <w:rPr>
          <w:rFonts w:hint="eastAsia"/>
          <w:lang w:val="en-US" w:eastAsia="zh-CN"/>
        </w:rPr>
        <w:t>本工程选择115200，</w:t>
      </w:r>
      <w:r>
        <w:t>通过</w:t>
      </w:r>
      <w:r>
        <w:rPr>
          <w:rFonts w:hint="eastAsia"/>
          <w:lang w:val="en-US" w:eastAsia="zh-CN"/>
        </w:rPr>
        <w:t>uart</w:t>
      </w:r>
      <w:r>
        <w:t>接口连接。</w:t>
      </w:r>
    </w:p>
    <w:p w14:paraId="7E7B66FB">
      <w:pPr>
        <w:rPr>
          <w:rFonts w:hint="default" w:eastAsia="宋体"/>
          <w:lang w:val="en-US" w:eastAsia="zh-CN"/>
        </w:rPr>
      </w:pPr>
      <w:r>
        <w:t>通信接口：</w:t>
      </w:r>
      <w:r>
        <w:rPr>
          <w:rFonts w:hint="eastAsia"/>
          <w:lang w:val="en-US" w:eastAsia="zh-CN"/>
        </w:rPr>
        <w:t>通过RS485电平协议，modbus协议。</w:t>
      </w:r>
    </w:p>
    <w:p w14:paraId="5F2AB700">
      <w:r>
        <w:t>调试工具：瑞萨官方调试工具E2/E2 Lite，或J-Link仿真器。</w:t>
      </w:r>
    </w:p>
    <w:p w14:paraId="04BB52BF">
      <w:r>
        <w:t>2. 软件平台</w:t>
      </w:r>
    </w:p>
    <w:p w14:paraId="21621167">
      <w:r>
        <w:t>集成开发环境：瑞萨官方e² studio。</w:t>
      </w:r>
    </w:p>
    <w:p w14:paraId="4A424FBE">
      <w:r>
        <w:t>编译器：Arm® GCC编译器。</w:t>
      </w:r>
    </w:p>
    <w:p w14:paraId="6CFA161F">
      <w:r>
        <w:t>硬件抽象层：使用瑞萨灵活配置软件包FSP v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>.0，配置引脚、时钟、外设驱动等。</w:t>
      </w:r>
    </w:p>
    <w:p w14:paraId="270A12BE">
      <w:pPr>
        <w:rPr>
          <w:rFonts w:hint="eastAsia" w:ascii="宋体" w:hAnsi="宋体"/>
          <w:szCs w:val="28"/>
        </w:rPr>
      </w:pPr>
    </w:p>
    <w:p w14:paraId="487DDCCA">
      <w:pPr>
        <w:jc w:val="left"/>
        <w:rPr>
          <w:rFonts w:hint="eastAsia" w:ascii="宋体" w:hAnsi="宋体"/>
          <w:szCs w:val="28"/>
        </w:rPr>
      </w:pPr>
      <w:r>
        <w:rPr>
          <w:rFonts w:ascii="宋体" w:hAnsi="宋体"/>
          <w:szCs w:val="28"/>
        </w:rPr>
        <w:br w:type="page"/>
      </w:r>
    </w:p>
    <w:p w14:paraId="1F8BFC17">
      <w:pPr>
        <w:pStyle w:val="2"/>
        <w:jc w:val="center"/>
      </w:pPr>
      <w:bookmarkStart w:id="16" w:name="_Toc237510534"/>
      <w:r>
        <w:rPr>
          <w:rFonts w:hint="eastAsia"/>
        </w:rPr>
        <w:t>系统架构</w:t>
      </w:r>
      <w:bookmarkEnd w:id="16"/>
    </w:p>
    <w:p w14:paraId="5852B580">
      <w:pPr>
        <w:ind w:firstLine="480" w:firstLineChars="200"/>
        <w:rPr>
          <w:rStyle w:val="61"/>
          <w:b w:val="0"/>
          <w:bCs w:val="0"/>
        </w:rPr>
      </w:pPr>
      <w:r>
        <w:t xml:space="preserve">本章从硬件组成、软件功能划分、软件分层架构和总体运行流程四个角度说明系统架构。设计原则是将硬件访问、通讯服务、状态机和 HMI </w:t>
      </w:r>
      <w:r>
        <w:rPr>
          <w:rFonts w:hint="eastAsia"/>
        </w:rPr>
        <w:t>相结合</w:t>
      </w:r>
      <w:r>
        <w:t>，使 6 个进气模组复用同一套软件对象和控制函数。</w:t>
      </w:r>
    </w:p>
    <w:p w14:paraId="7809E3B6">
      <w:pPr>
        <w:pStyle w:val="3"/>
      </w:pPr>
      <w:bookmarkStart w:id="17" w:name="_Toc188631764"/>
      <w:bookmarkStart w:id="18" w:name="_Toc237510535"/>
      <w:r>
        <w:rPr>
          <w:rFonts w:hint="eastAsia"/>
        </w:rPr>
        <w:t>硬件</w:t>
      </w:r>
      <w:bookmarkEnd w:id="17"/>
      <w:r>
        <w:rPr>
          <w:rFonts w:hint="eastAsia"/>
        </w:rPr>
        <w:t>功能图</w:t>
      </w:r>
      <w:bookmarkEnd w:id="18"/>
    </w:p>
    <w:p w14:paraId="2E71B2C2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"硬件架构框图.vsdx"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Style w:val="29"/>
          <w:rFonts w:hint="eastAsia" w:ascii="宋体" w:hAnsi="宋体"/>
          <w:szCs w:val="28"/>
        </w:rPr>
        <w:t>硬件架构框图.vsdx</w:t>
      </w:r>
      <w:r>
        <w:rPr>
          <w:rFonts w:hint="eastAsia" w:ascii="宋体" w:hAnsi="宋体"/>
          <w:szCs w:val="28"/>
        </w:rPr>
        <w:fldChar w:fldCharType="end"/>
      </w:r>
    </w:p>
    <w:p w14:paraId="5AE376D8">
      <w:pPr>
        <w:pStyle w:val="3"/>
      </w:pPr>
      <w:bookmarkStart w:id="19" w:name="_Toc237510536"/>
      <w:bookmarkStart w:id="20" w:name="_Toc188631765"/>
      <w:r>
        <w:rPr>
          <w:rFonts w:hint="eastAsia"/>
        </w:rPr>
        <w:t>软件功能划分图</w:t>
      </w:r>
      <w:bookmarkEnd w:id="19"/>
      <w:bookmarkEnd w:id="20"/>
    </w:p>
    <w:p w14:paraId="6353296A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详见</w:t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"主板软件功能划分.xmind"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Style w:val="28"/>
          <w:rFonts w:hint="eastAsia" w:ascii="宋体" w:hAnsi="宋体"/>
          <w:szCs w:val="28"/>
        </w:rPr>
        <w:t>主板软件功能划分.xmind</w:t>
      </w:r>
      <w:r>
        <w:rPr>
          <w:rFonts w:hint="eastAsia" w:ascii="宋体" w:hAnsi="宋体"/>
          <w:szCs w:val="28"/>
        </w:rPr>
        <w:fldChar w:fldCharType="end"/>
      </w:r>
    </w:p>
    <w:p w14:paraId="0868A566">
      <w:pPr>
        <w:pStyle w:val="3"/>
      </w:pPr>
      <w:bookmarkStart w:id="21" w:name="_Toc237510537"/>
      <w:bookmarkStart w:id="22" w:name="_Toc188631766"/>
      <w:r>
        <w:rPr>
          <w:rFonts w:hint="eastAsia"/>
        </w:rPr>
        <w:t>软件架构图</w:t>
      </w:r>
      <w:bookmarkEnd w:id="21"/>
      <w:bookmarkEnd w:id="22"/>
    </w:p>
    <w:p w14:paraId="319DDE05">
      <w:pPr>
        <w:ind w:firstLine="420"/>
        <w:jc w:val="left"/>
        <w:rPr>
          <w:rFonts w:hint="eastAsia" w:ascii="宋体" w:hAnsi="宋体" w:eastAsia="宋体"/>
          <w:szCs w:val="28"/>
          <w:lang w:val="en-US" w:eastAsia="zh-CN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"软件架构图.xmind"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8"/>
          <w:rFonts w:hint="eastAsia" w:ascii="宋体" w:hAnsi="宋体"/>
          <w:szCs w:val="28"/>
          <w:lang w:val="en-US" w:eastAsia="zh-CN"/>
        </w:rPr>
        <w:t>软件架构图.xmind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</w:p>
    <w:p w14:paraId="105B46DA">
      <w:pPr>
        <w:pStyle w:val="3"/>
      </w:pPr>
      <w:bookmarkStart w:id="23" w:name="_Toc188631767"/>
      <w:bookmarkStart w:id="24" w:name="_Toc237510538"/>
      <w:r>
        <w:rPr>
          <w:rFonts w:hint="eastAsia"/>
        </w:rPr>
        <w:t>软件运行流程图</w:t>
      </w:r>
      <w:bookmarkEnd w:id="23"/>
      <w:bookmarkEnd w:id="24"/>
    </w:p>
    <w:p w14:paraId="18B9D54A">
      <w:pPr>
        <w:ind w:firstLine="480" w:firstLineChars="200"/>
        <w:jc w:val="both"/>
        <w:rPr>
          <w:rStyle w:val="61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"主板软件运行流程.vsdx"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8"/>
          <w:rFonts w:hint="eastAsia" w:ascii="宋体" w:hAnsi="宋体"/>
          <w:szCs w:val="28"/>
          <w:lang w:val="en-US" w:eastAsia="zh-CN"/>
        </w:rPr>
        <w:t>主板软件运行流程.vsdx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  <w:r>
        <w:rPr>
          <w:rFonts w:hint="eastAsia" w:ascii="宋体" w:hAnsi="宋体"/>
          <w:szCs w:val="28"/>
        </w:rPr>
        <w:br w:type="page"/>
      </w:r>
    </w:p>
    <w:p w14:paraId="2C384549">
      <w:pPr>
        <w:pStyle w:val="2"/>
        <w:jc w:val="center"/>
      </w:pPr>
      <w:bookmarkStart w:id="25" w:name="_Toc237510539"/>
      <w:r>
        <w:rPr>
          <w:rFonts w:hint="eastAsia"/>
        </w:rPr>
        <w:t>模块功能详细设计</w:t>
      </w:r>
      <w:bookmarkEnd w:id="25"/>
    </w:p>
    <w:p w14:paraId="05C6CD5A">
      <w:pPr>
        <w:pStyle w:val="3"/>
      </w:pPr>
      <w:bookmarkStart w:id="26" w:name="_Toc237510540"/>
      <w:r>
        <w:rPr>
          <w:rFonts w:hint="eastAsia"/>
        </w:rPr>
        <w:t>串口屏功能模块</w:t>
      </w:r>
      <w:bookmarkEnd w:id="26"/>
    </w:p>
    <w:p w14:paraId="36C0A247">
      <w:pPr>
        <w:pStyle w:val="4"/>
        <w:ind w:left="240" w:leftChars="0" w:firstLineChars="0"/>
      </w:pPr>
      <w:bookmarkStart w:id="27" w:name="_Toc237510541"/>
      <w:r>
        <w:rPr>
          <w:rFonts w:hint="eastAsia"/>
        </w:rPr>
        <w:t>硬件</w:t>
      </w:r>
      <w:bookmarkEnd w:id="27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3BF2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71E5A8F">
            <w:pPr>
              <w:tabs>
                <w:tab w:val="center" w:pos="728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8589" w:type="dxa"/>
          </w:tcPr>
          <w:p w14:paraId="0284CE7C">
            <w:r>
              <w:rPr>
                <w:rFonts w:hint="eastAsia"/>
              </w:rPr>
              <w:t>描述</w:t>
            </w:r>
          </w:p>
        </w:tc>
      </w:tr>
      <w:tr w14:paraId="49F0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161B9AC">
            <w:r>
              <w:rPr>
                <w:rFonts w:hint="eastAsia"/>
              </w:rPr>
              <w:t>MCU-UART</w:t>
            </w:r>
          </w:p>
        </w:tc>
        <w:tc>
          <w:tcPr>
            <w:tcW w:w="8589" w:type="dxa"/>
          </w:tcPr>
          <w:p w14:paraId="2D1CEE5A">
            <w:r>
              <w:rPr>
                <w:rFonts w:hint="eastAsia"/>
              </w:rPr>
              <w:t>波特率115200 通道号9</w:t>
            </w:r>
          </w:p>
        </w:tc>
      </w:tr>
      <w:tr w14:paraId="506B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2C17986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35FE1F2">
            <w:r>
              <w:rPr>
                <w:rFonts w:hint="eastAsia"/>
              </w:rPr>
              <w:t>显示使能DIS_EN  显示供电DIS_POWER</w:t>
            </w:r>
          </w:p>
        </w:tc>
      </w:tr>
    </w:tbl>
    <w:p w14:paraId="548BB198"/>
    <w:p w14:paraId="2501A075">
      <w:pPr>
        <w:pStyle w:val="4"/>
        <w:ind w:left="240" w:leftChars="0" w:firstLineChars="0"/>
        <w:rPr>
          <w:rFonts w:hint="eastAsia" w:eastAsia="宋体"/>
          <w:lang w:eastAsia="zh-CN"/>
        </w:rPr>
      </w:pPr>
      <w:bookmarkStart w:id="28" w:name="_Toc237510542"/>
      <w:r>
        <w:rPr>
          <w:rFonts w:hint="eastAsia"/>
        </w:rPr>
        <w:t>软件</w:t>
      </w:r>
      <w:bookmarkEnd w:id="28"/>
    </w:p>
    <w:p w14:paraId="4D961FE3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详细见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"界面.vsdx"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8"/>
          <w:rFonts w:hint="eastAsia"/>
          <w:lang w:val="en-US" w:eastAsia="zh-CN"/>
        </w:rPr>
        <w:t>界面.vsdx</w:t>
      </w:r>
      <w:r>
        <w:rPr>
          <w:rFonts w:hint="eastAsia"/>
          <w:lang w:val="en-US" w:eastAsia="zh-CN"/>
        </w:rPr>
        <w:fldChar w:fldCharType="end"/>
      </w:r>
    </w:p>
    <w:p w14:paraId="41A8ACE3">
      <w:pPr>
        <w:spacing w:after="120"/>
        <w:ind w:firstLine="420"/>
        <w:rPr>
          <w:rFonts w:hint="eastAsia"/>
        </w:rPr>
      </w:pPr>
      <w:r>
        <w:rPr>
          <w:rFonts w:hint="eastAsia"/>
        </w:rPr>
        <w:t>本模块负责显示六只气瓶的压力、气瓶状态、当前工作瓶、</w:t>
      </w:r>
      <w:r>
        <w:rPr>
          <w:rFonts w:hint="eastAsia"/>
          <w:lang w:val="en-US" w:eastAsia="zh-CN"/>
        </w:rPr>
        <w:t>阀门状态，放气</w:t>
      </w:r>
      <w:r>
        <w:rPr>
          <w:rFonts w:hint="eastAsia"/>
        </w:rPr>
        <w:t>阀输出命令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并将工作人员操作转换为气源控制应用层可以处理的业务请求。显示模块不得直接读写阀门GPIO，也不得绕过应用层状态机。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674C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250CCA9F">
            <w:pPr>
              <w:tabs>
                <w:tab w:val="center" w:pos="728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界面对象</w:t>
            </w:r>
          </w:p>
        </w:tc>
        <w:tc>
          <w:tcPr>
            <w:tcW w:w="8589" w:type="dxa"/>
          </w:tcPr>
          <w:p w14:paraId="4E6CA356">
            <w:r>
              <w:rPr>
                <w:rFonts w:hint="eastAsia"/>
              </w:rPr>
              <w:t>显示或操作要求</w:t>
            </w:r>
          </w:p>
        </w:tc>
      </w:tr>
      <w:tr w14:paraId="590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D1F907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气瓶压力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507AB492">
            <w:r>
              <w:rPr>
                <w:rFonts w:hint="eastAsia"/>
              </w:rPr>
              <w:t>显示1～6号瓶压力，单位MPa；无效或陈旧数据不得显示为0，应显示“无效”或“通信异常”。</w:t>
            </w:r>
          </w:p>
        </w:tc>
      </w:tr>
      <w:tr w14:paraId="54EB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F4274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气瓶状态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2EAFF577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  <w:lang w:val="en-US" w:eastAsia="zh-CN"/>
              </w:rPr>
              <w:t>初始化、待用、使用中、停用、低压警告、低压待换</w:t>
            </w:r>
          </w:p>
        </w:tc>
      </w:tr>
      <w:tr w14:paraId="6825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DB9C8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阀门状态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73C02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显示开关</w:t>
            </w:r>
          </w:p>
        </w:tc>
      </w:tr>
      <w:tr w14:paraId="164B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C48620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测试通过按键</w:t>
            </w:r>
          </w:p>
        </w:tc>
        <w:tc>
          <w:tcPr>
            <w:tcW w:w="8589" w:type="dxa"/>
          </w:tcPr>
          <w:p w14:paraId="5BEE0B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通过测试后，可以从初始化和低压待换状态进入待用状态</w:t>
            </w:r>
          </w:p>
        </w:tc>
      </w:tr>
      <w:tr w14:paraId="0D15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8B3EFC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排气阀开关控制</w:t>
            </w:r>
          </w:p>
        </w:tc>
        <w:tc>
          <w:tcPr>
            <w:tcW w:w="8589" w:type="dxa"/>
          </w:tcPr>
          <w:p w14:paraId="4EAEDA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排气除初始化、使用、低压警告状态下都可以使用</w:t>
            </w:r>
            <w:r>
              <w:rPr>
                <w:rFonts w:hint="eastAsia"/>
              </w:rPr>
              <w:t>；排气阀打开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s并显示倒计时。</w:t>
            </w:r>
          </w:p>
        </w:tc>
      </w:tr>
      <w:tr w14:paraId="55FC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8EFE5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测试阀开关控制</w:t>
            </w:r>
          </w:p>
        </w:tc>
        <w:tc>
          <w:tcPr>
            <w:tcW w:w="8589" w:type="dxa"/>
          </w:tcPr>
          <w:p w14:paraId="31B3FAE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供气阀关闭、压力有效允许执行，打开后可直接执行，时间不做要求，由操作人员控制，并提供时间计时。</w:t>
            </w:r>
          </w:p>
        </w:tc>
      </w:tr>
      <w:tr w14:paraId="141C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936CC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停用按键</w:t>
            </w:r>
          </w:p>
        </w:tc>
        <w:tc>
          <w:tcPr>
            <w:tcW w:w="8589" w:type="dxa"/>
          </w:tcPr>
          <w:p w14:paraId="1F8E8D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控制气瓶进入停用状态</w:t>
            </w:r>
          </w:p>
        </w:tc>
      </w:tr>
    </w:tbl>
    <w:p w14:paraId="7761717A">
      <w:pPr>
        <w:rPr>
          <w:rFonts w:hint="eastAsia"/>
        </w:rPr>
      </w:pPr>
    </w:p>
    <w:p w14:paraId="5F3AB2EE">
      <w:pPr>
        <w:pStyle w:val="3"/>
      </w:pPr>
      <w:bookmarkStart w:id="29" w:name="_Toc237510543"/>
      <w:r>
        <w:rPr>
          <w:rFonts w:hint="eastAsia"/>
        </w:rPr>
        <w:t>气压传感器通讯模块</w:t>
      </w:r>
      <w:bookmarkEnd w:id="29"/>
    </w:p>
    <w:p w14:paraId="69EF3950">
      <w:pPr>
        <w:pStyle w:val="4"/>
        <w:ind w:left="240" w:leftChars="0" w:firstLineChars="0"/>
      </w:pPr>
      <w:bookmarkStart w:id="30" w:name="_Toc237510544"/>
      <w:r>
        <w:rPr>
          <w:rFonts w:hint="eastAsia"/>
        </w:rPr>
        <w:t>硬件</w:t>
      </w:r>
      <w:bookmarkEnd w:id="30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6E4E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9769EA3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76B08E41">
            <w:r>
              <w:rPr>
                <w:rFonts w:hint="eastAsia"/>
              </w:rPr>
              <w:t>描述</w:t>
            </w:r>
          </w:p>
        </w:tc>
      </w:tr>
      <w:tr w14:paraId="5F01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EB5C1E1">
            <w:r>
              <w:rPr>
                <w:rFonts w:hint="eastAsia"/>
              </w:rPr>
              <w:t>MCU-UART</w:t>
            </w:r>
          </w:p>
        </w:tc>
        <w:tc>
          <w:tcPr>
            <w:tcW w:w="8589" w:type="dxa"/>
          </w:tcPr>
          <w:p w14:paraId="2DDBA9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波特率 9600 </w:t>
            </w:r>
            <w:r>
              <w:rPr>
                <w:rFonts w:hint="eastAsia"/>
                <w:lang w:val="en-US" w:eastAsia="zh-CN"/>
              </w:rPr>
              <w:t xml:space="preserve"> SCI1</w:t>
            </w:r>
          </w:p>
        </w:tc>
      </w:tr>
      <w:tr w14:paraId="2DB2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60EBC283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F91F6B4">
            <w:r>
              <w:rPr>
                <w:rFonts w:hint="eastAsia"/>
              </w:rPr>
              <w:t>使能PRE_EN  匹配电阻PRE_RES</w:t>
            </w:r>
          </w:p>
        </w:tc>
      </w:tr>
    </w:tbl>
    <w:p w14:paraId="275F7E62">
      <w:pPr>
        <w:pStyle w:val="4"/>
        <w:ind w:left="240" w:leftChars="0" w:firstLineChars="0"/>
      </w:pPr>
      <w:bookmarkStart w:id="31" w:name="_Toc237510545"/>
      <w:r>
        <w:rPr>
          <w:rFonts w:hint="eastAsia"/>
        </w:rPr>
        <w:t>软件</w:t>
      </w:r>
      <w:bookmarkEnd w:id="31"/>
    </w:p>
    <w:p w14:paraId="4D5C5144">
      <w:pPr>
        <w:spacing w:after="120"/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读取1号传感器的请求示例为“01 04 00 00 00 02 71 CB”。正常响应共9字节，其中4字节数据按ABCD顺序组合为浮点数。例如数据3F C0 00 00转换为1.5 MPa。通信超时或数据无效不得等同于压力为0，也不得直接触发自动切瓶。</w:t>
      </w:r>
      <w:r>
        <w:rPr>
          <w:rFonts w:hint="eastAsia"/>
          <w:lang w:val="en-US" w:eastAsia="zh-CN"/>
        </w:rPr>
        <w:t>其他参数由后续寄存器表获取（李锋提供）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4547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5804A3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75AB3CC6">
            <w:r>
              <w:rPr>
                <w:rFonts w:hint="eastAsia"/>
              </w:rPr>
              <w:t>描述</w:t>
            </w:r>
          </w:p>
        </w:tc>
      </w:tr>
      <w:tr w14:paraId="329B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A30139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数据协议</w:t>
            </w:r>
          </w:p>
        </w:tc>
        <w:tc>
          <w:tcPr>
            <w:tcW w:w="8447" w:type="dxa"/>
          </w:tcPr>
          <w:p w14:paraId="035F2A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物理层RS485 应用层modbus</w:t>
            </w:r>
          </w:p>
        </w:tc>
      </w:tr>
      <w:tr w14:paraId="519A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F0422B0">
            <w:r>
              <w:rPr>
                <w:rFonts w:hint="eastAsia"/>
              </w:rPr>
              <w:t>数据帧格式</w:t>
            </w:r>
          </w:p>
        </w:tc>
        <w:tc>
          <w:tcPr>
            <w:tcW w:w="8447" w:type="dxa"/>
          </w:tcPr>
          <w:p w14:paraId="3CB39CFE">
            <w:r>
              <w:rPr>
                <w:rFonts w:hint="eastAsia"/>
              </w:rPr>
              <w:t>8N1</w:t>
            </w:r>
          </w:p>
        </w:tc>
      </w:tr>
      <w:tr w14:paraId="230C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33B5FAC">
            <w:r>
              <w:rPr>
                <w:rFonts w:hint="eastAsia"/>
              </w:rPr>
              <w:t>数据格式</w:t>
            </w:r>
          </w:p>
        </w:tc>
        <w:tc>
          <w:tcPr>
            <w:tcW w:w="8447" w:type="dxa"/>
          </w:tcPr>
          <w:p w14:paraId="07D21F6E">
            <w:r>
              <w:rPr>
                <w:rFonts w:hint="eastAsia"/>
              </w:rPr>
              <w:t>32位浮点数</w:t>
            </w:r>
          </w:p>
        </w:tc>
      </w:tr>
      <w:tr w14:paraId="124D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1860DBB">
            <w:r>
              <w:rPr>
                <w:rFonts w:hint="eastAsia"/>
              </w:rPr>
              <w:t>转换方式</w:t>
            </w:r>
          </w:p>
        </w:tc>
        <w:tc>
          <w:tcPr>
            <w:tcW w:w="8447" w:type="dxa"/>
          </w:tcPr>
          <w:p w14:paraId="7EC979AD">
            <w:r>
              <w:rPr>
                <w:rFonts w:hint="eastAsia"/>
              </w:rPr>
              <w:t>Float AB CD</w:t>
            </w:r>
          </w:p>
        </w:tc>
      </w:tr>
      <w:tr w14:paraId="7AAA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4D7C05C9">
            <w:r>
              <w:rPr>
                <w:rFonts w:hint="eastAsia"/>
              </w:rPr>
              <w:t>功能码</w:t>
            </w:r>
          </w:p>
        </w:tc>
        <w:tc>
          <w:tcPr>
            <w:tcW w:w="8447" w:type="dxa"/>
          </w:tcPr>
          <w:p w14:paraId="29F6C331">
            <w:r>
              <w:rPr>
                <w:rFonts w:hint="eastAsia"/>
              </w:rPr>
              <w:t>04</w:t>
            </w:r>
          </w:p>
        </w:tc>
      </w:tr>
      <w:tr w14:paraId="299B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0C49A658">
            <w:r>
              <w:rPr>
                <w:rFonts w:hint="eastAsia"/>
              </w:rPr>
              <w:t>设备码</w:t>
            </w:r>
          </w:p>
        </w:tc>
        <w:tc>
          <w:tcPr>
            <w:tcW w:w="8447" w:type="dxa"/>
          </w:tcPr>
          <w:p w14:paraId="007F2A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一号瓶代表01   二号瓶代表02    三号瓶代表03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四号瓶代表04   五号瓶代表05    六号瓶代表06    总压力传感器07</w:t>
            </w:r>
          </w:p>
        </w:tc>
      </w:tr>
      <w:tr w14:paraId="65C6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6E22FE03">
            <w:pPr>
              <w:rPr>
                <w:rFonts w:hint="eastAsia"/>
              </w:rPr>
            </w:pPr>
            <w:bookmarkStart w:id="32" w:name="_Toc237510546"/>
            <w:r>
              <w:rPr>
                <w:rFonts w:hint="eastAsia"/>
              </w:rPr>
              <w:t>压力单位</w:t>
            </w:r>
          </w:p>
        </w:tc>
        <w:tc>
          <w:tcPr>
            <w:tcW w:w="8447" w:type="dxa"/>
          </w:tcPr>
          <w:p w14:paraId="2F75944D">
            <w:pPr>
              <w:rPr>
                <w:rFonts w:hint="eastAsia"/>
              </w:rPr>
            </w:pPr>
            <w:r>
              <w:rPr>
                <w:rFonts w:hint="eastAsia"/>
              </w:rPr>
              <w:t>MPa</w:t>
            </w:r>
          </w:p>
        </w:tc>
      </w:tr>
    </w:tbl>
    <w:p w14:paraId="3B353DF8">
      <w:pPr>
        <w:pStyle w:val="3"/>
        <w:rPr>
          <w:rFonts w:hint="eastAsia"/>
          <w:lang w:val="en-US" w:eastAsia="zh-CN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存储模块</w:t>
      </w:r>
    </w:p>
    <w:p w14:paraId="3C26808D">
      <w:pPr>
        <w:pStyle w:val="4"/>
      </w:pPr>
      <w:r>
        <w:rPr>
          <w:rFonts w:hint="eastAsia"/>
          <w:lang w:val="en-US" w:eastAsia="zh-CN"/>
        </w:rPr>
        <w:t>硬件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7F82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634EE312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549E7901">
            <w:r>
              <w:rPr>
                <w:rFonts w:hint="eastAsia"/>
              </w:rPr>
              <w:t>描述</w:t>
            </w:r>
          </w:p>
        </w:tc>
      </w:tr>
      <w:tr w14:paraId="63ADA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25DEFE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MCU-</w:t>
            </w:r>
            <w:r>
              <w:rPr>
                <w:rFonts w:hint="eastAsia"/>
                <w:lang w:val="en-US" w:eastAsia="zh-CN"/>
              </w:rPr>
              <w:t>IO</w:t>
            </w:r>
          </w:p>
        </w:tc>
        <w:tc>
          <w:tcPr>
            <w:tcW w:w="8589" w:type="dxa"/>
          </w:tcPr>
          <w:p w14:paraId="044AA57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24C_SDA  24C_SCL  24C_WP</w:t>
            </w:r>
          </w:p>
        </w:tc>
      </w:tr>
      <w:tr w14:paraId="21C8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92462B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24C256</w:t>
            </w:r>
          </w:p>
        </w:tc>
        <w:tc>
          <w:tcPr>
            <w:tcW w:w="8589" w:type="dxa"/>
          </w:tcPr>
          <w:p w14:paraId="2ED6B63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内存32KB的EEPROM</w:t>
            </w:r>
          </w:p>
        </w:tc>
      </w:tr>
    </w:tbl>
    <w:p w14:paraId="2E549E75"/>
    <w:p w14:paraId="5444B58E">
      <w:pPr>
        <w:pStyle w:val="4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存储方案</w:t>
      </w:r>
    </w:p>
    <w:p w14:paraId="1FF7F2EC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由于本工程采用的方案存储硬件是AT24C256，该存储器件存在容量小的局限性，32KB的容量对于大量日志事件和压力数据的存储显然不够，所以该工程采用方案如下：</w:t>
      </w:r>
    </w:p>
    <w:p w14:paraId="10E3A747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EEPROM中不直接保存中文字符，而是保存紧凑的时间码和数据，读取出来后再转换成中文日志。</w:t>
      </w:r>
    </w:p>
    <w:p w14:paraId="0416075F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存储事项：常规存储（数据存储），按周期固定触发</w:t>
      </w:r>
    </w:p>
    <w:p w14:paraId="749B4F10">
      <w:pPr>
        <w:spacing w:after="12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事件存储（日志功能），按照事件发生触发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962"/>
        <w:gridCol w:w="963"/>
        <w:gridCol w:w="6664"/>
      </w:tblGrid>
      <w:tr w14:paraId="4381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3AB3987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偏移</w:t>
            </w:r>
          </w:p>
        </w:tc>
        <w:tc>
          <w:tcPr>
            <w:tcW w:w="962" w:type="dxa"/>
          </w:tcPr>
          <w:p w14:paraId="27DB14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963" w:type="dxa"/>
          </w:tcPr>
          <w:p w14:paraId="29C94B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6664" w:type="dxa"/>
          </w:tcPr>
          <w:p w14:paraId="31DE95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D00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619E0F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0~5</w:t>
            </w:r>
          </w:p>
        </w:tc>
        <w:tc>
          <w:tcPr>
            <w:tcW w:w="962" w:type="dxa"/>
          </w:tcPr>
          <w:p w14:paraId="228F4C5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963" w:type="dxa"/>
          </w:tcPr>
          <w:p w14:paraId="03CA43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6664" w:type="dxa"/>
          </w:tcPr>
          <w:p w14:paraId="5973ED5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通过串口屏获取年月日时分秒</w:t>
            </w:r>
          </w:p>
        </w:tc>
      </w:tr>
      <w:tr w14:paraId="5853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F8230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962" w:type="dxa"/>
          </w:tcPr>
          <w:p w14:paraId="3735DA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963" w:type="dxa"/>
          </w:tcPr>
          <w:p w14:paraId="32DD51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664" w:type="dxa"/>
          </w:tcPr>
          <w:p w14:paraId="371162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分为常规记录（半小时一次），时间记录：发生换瓶等操作</w:t>
            </w:r>
          </w:p>
        </w:tc>
      </w:tr>
      <w:tr w14:paraId="3B80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8498F3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7~18</w:t>
            </w:r>
          </w:p>
        </w:tc>
        <w:tc>
          <w:tcPr>
            <w:tcW w:w="962" w:type="dxa"/>
          </w:tcPr>
          <w:p w14:paraId="41C0FA2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六阀门压力值</w:t>
            </w:r>
          </w:p>
        </w:tc>
        <w:tc>
          <w:tcPr>
            <w:tcW w:w="963" w:type="dxa"/>
          </w:tcPr>
          <w:p w14:paraId="7E3E97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6664" w:type="dxa"/>
          </w:tcPr>
          <w:p w14:paraId="542B3670">
            <w:pPr>
              <w:pStyle w:val="20"/>
              <w:keepNext w:val="0"/>
              <w:keepLines w:val="0"/>
              <w:widowControl/>
              <w:suppressLineNumbers w:val="0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通过将浮点数乘100的方式，压力存储值 = 压力MPa × 100，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使用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uint16_t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保存，分辨率为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0.01 MPa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。六瓶压力只需要12字节，而六个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float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需要24字节。</w:t>
            </w:r>
          </w:p>
        </w:tc>
      </w:tr>
      <w:tr w14:paraId="711F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D4FC8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962" w:type="dxa"/>
          </w:tcPr>
          <w:p w14:paraId="5180F8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瓶号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&amp;事件</w:t>
            </w:r>
          </w:p>
        </w:tc>
        <w:tc>
          <w:tcPr>
            <w:tcW w:w="963" w:type="dxa"/>
          </w:tcPr>
          <w:p w14:paraId="5C9774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664" w:type="dxa"/>
          </w:tcPr>
          <w:p w14:paraId="6E30D27D">
            <w:pPr>
              <w:pStyle w:val="20"/>
              <w:keepNext w:val="0"/>
              <w:keepLines w:val="0"/>
              <w:widowControl/>
              <w:suppressLineNumbers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比如0101代表一号瓶压力不足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0102代表一号瓶被替换</w:t>
            </w:r>
          </w:p>
        </w:tc>
      </w:tr>
    </w:tbl>
    <w:p w14:paraId="0C0773D5">
      <w:pPr>
        <w:spacing w:after="120"/>
        <w:ind w:firstLine="420"/>
        <w:rPr>
          <w:rFonts w:hint="default"/>
          <w:lang w:val="en-US" w:eastAsia="zh-CN"/>
        </w:rPr>
      </w:pPr>
    </w:p>
    <w:p w14:paraId="0EA1F637">
      <w:pPr>
        <w:pStyle w:val="3"/>
      </w:pPr>
      <w:r>
        <w:rPr>
          <w:rFonts w:hint="eastAsia"/>
        </w:rPr>
        <w:t>外部通讯模块</w:t>
      </w:r>
      <w:bookmarkEnd w:id="32"/>
    </w:p>
    <w:p w14:paraId="3A1409EA">
      <w:pPr>
        <w:pStyle w:val="4"/>
      </w:pPr>
      <w:bookmarkStart w:id="33" w:name="_Toc237510548"/>
      <w:r>
        <w:rPr>
          <w:rFonts w:hint="eastAsia"/>
          <w:lang w:val="en-US" w:eastAsia="zh-CN"/>
        </w:rPr>
        <w:t>硬件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2B07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2AEB64B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39735654">
            <w:r>
              <w:rPr>
                <w:rFonts w:hint="eastAsia"/>
              </w:rPr>
              <w:t>描述</w:t>
            </w:r>
          </w:p>
        </w:tc>
      </w:tr>
      <w:tr w14:paraId="4B44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8B714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13B0C82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P102-CAN_RXD0  P103-CAN_TXD0</w:t>
            </w:r>
          </w:p>
        </w:tc>
      </w:tr>
    </w:tbl>
    <w:p w14:paraId="5FF6B77B"/>
    <w:p w14:paraId="0DE1C23C">
      <w:pPr>
        <w:pStyle w:val="4"/>
        <w:ind w:left="240" w:leftChars="0" w:firstLineChars="0"/>
      </w:pPr>
      <w:r>
        <w:rPr>
          <w:rFonts w:hint="eastAsia"/>
        </w:rPr>
        <w:t>软件</w:t>
      </w:r>
      <w:bookmarkEnd w:id="33"/>
    </w:p>
    <w:p w14:paraId="7E555835">
      <w:pPr>
        <w:spacing w:after="120"/>
        <w:ind w:firstLine="420"/>
        <w:rPr>
          <w:rFonts w:hint="eastAsia"/>
        </w:rPr>
      </w:pPr>
      <w:r>
        <w:rPr>
          <w:rFonts w:hint="eastAsia"/>
        </w:rPr>
        <w:t>外部通信接口用于向上位机或中控系统提供气瓶压力、状态、阀门命令，并接收启动、停止、换瓶确认及开始排气等业务请求。</w:t>
      </w:r>
    </w:p>
    <w:p w14:paraId="042530CF"/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208A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5" w:type="dxa"/>
          </w:tcPr>
          <w:p w14:paraId="28E52D1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7AFEEAFF">
            <w:r>
              <w:rPr>
                <w:rFonts w:hint="eastAsia"/>
              </w:rPr>
              <w:t>描述</w:t>
            </w:r>
          </w:p>
        </w:tc>
      </w:tr>
      <w:tr w14:paraId="7F7D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86B670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</w:t>
            </w:r>
          </w:p>
        </w:tc>
        <w:tc>
          <w:tcPr>
            <w:tcW w:w="8447" w:type="dxa"/>
          </w:tcPr>
          <w:p w14:paraId="61488F8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CAN通讯</w:t>
            </w:r>
          </w:p>
        </w:tc>
      </w:tr>
      <w:tr w14:paraId="617C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E589854">
            <w:pPr>
              <w:rPr>
                <w:rFonts w:hint="default"/>
                <w:lang w:val="en-US" w:eastAsia="zh-CN"/>
              </w:rPr>
            </w:pPr>
            <w:bookmarkStart w:id="34" w:name="_Toc237510549"/>
            <w:r>
              <w:rPr>
                <w:rFonts w:hint="eastAsia"/>
                <w:lang w:val="en-US" w:eastAsia="zh-CN"/>
              </w:rPr>
              <w:t>波特率</w:t>
            </w:r>
          </w:p>
        </w:tc>
        <w:tc>
          <w:tcPr>
            <w:tcW w:w="8447" w:type="dxa"/>
          </w:tcPr>
          <w:p w14:paraId="6AB79B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9600</w:t>
            </w:r>
          </w:p>
        </w:tc>
      </w:tr>
    </w:tbl>
    <w:p w14:paraId="6FB99A5B">
      <w:pPr>
        <w:pStyle w:val="3"/>
      </w:pPr>
      <w:r>
        <w:rPr>
          <w:rFonts w:hint="eastAsia"/>
          <w:lang w:val="en-US" w:eastAsia="zh-CN"/>
        </w:rPr>
        <w:t>气瓶状态管理</w:t>
      </w:r>
    </w:p>
    <w:p w14:paraId="436483B1">
      <w:pPr>
        <w:pStyle w:val="4"/>
        <w:ind w:left="240" w:leftChars="0" w:firstLineChars="0"/>
      </w:pPr>
      <w:r>
        <w:rPr>
          <w:rFonts w:hint="eastAsia"/>
          <w:lang w:val="en-US" w:eastAsia="zh-CN"/>
        </w:rPr>
        <w:t>状态定义</w:t>
      </w:r>
    </w:p>
    <w:tbl>
      <w:tblPr>
        <w:tblStyle w:val="23"/>
        <w:tblW w:w="10275" w:type="dxa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8000"/>
      </w:tblGrid>
      <w:tr w14:paraId="209C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FFFFFF" w:themeFill="background1"/>
            <w:vAlign w:val="center"/>
          </w:tcPr>
          <w:p w14:paraId="7EA1B9F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  <w:tc>
          <w:tcPr>
            <w:tcW w:w="8000" w:type="dxa"/>
            <w:shd w:val="clear" w:color="auto" w:fill="FFFFFF" w:themeFill="background1"/>
            <w:vAlign w:val="center"/>
          </w:tcPr>
          <w:p w14:paraId="013E043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进入条件和行为</w:t>
            </w:r>
          </w:p>
        </w:tc>
      </w:tr>
      <w:tr w14:paraId="0718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AC7A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  <w:tc>
          <w:tcPr>
            <w:tcW w:w="8000" w:type="dxa"/>
            <w:vAlign w:val="center"/>
          </w:tcPr>
          <w:p w14:paraId="2903254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上电或解除停用后进入；等待有效压力和测试通过标志，并立即判断下一状态</w:t>
            </w:r>
          </w:p>
        </w:tc>
      </w:tr>
      <w:tr w14:paraId="0126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34452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待用</w:t>
            </w:r>
          </w:p>
        </w:tc>
        <w:tc>
          <w:tcPr>
            <w:tcW w:w="8000" w:type="dxa"/>
            <w:vAlign w:val="center"/>
          </w:tcPr>
          <w:p w14:paraId="16F38F4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有效压力不低于 1.5 MPa，可按气瓶顺序成为工作瓶</w:t>
            </w:r>
          </w:p>
        </w:tc>
      </w:tr>
      <w:tr w14:paraId="6EF0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87234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</w:p>
        </w:tc>
        <w:tc>
          <w:tcPr>
            <w:tcW w:w="8000" w:type="dxa"/>
            <w:vAlign w:val="center"/>
          </w:tcPr>
          <w:p w14:paraId="355B52E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当前工作瓶，进气阀开启</w:t>
            </w:r>
          </w:p>
        </w:tc>
      </w:tr>
      <w:tr w14:paraId="26E7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52D9C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低压警告</w:t>
            </w:r>
          </w:p>
        </w:tc>
        <w:tc>
          <w:tcPr>
            <w:tcW w:w="8000" w:type="dxa"/>
            <w:vAlign w:val="center"/>
          </w:tcPr>
          <w:p w14:paraId="378046B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非工作瓶压力低于 1.5 MPa；持续检测，恢复到 1.5 MPa 后且满足测试通过回到待用</w:t>
            </w:r>
          </w:p>
        </w:tc>
      </w:tr>
      <w:tr w14:paraId="4D09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DA8C9F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低压待换</w:t>
            </w:r>
          </w:p>
        </w:tc>
        <w:tc>
          <w:tcPr>
            <w:tcW w:w="8000" w:type="dxa"/>
            <w:vAlign w:val="center"/>
          </w:tcPr>
          <w:p w14:paraId="2D18D0D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工作瓶压力低于 2.0 MPa，继续供气并在屏幕提示退出自动候选，三阀关闭</w:t>
            </w:r>
          </w:p>
        </w:tc>
      </w:tr>
      <w:tr w14:paraId="4918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DB41A3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</w:t>
            </w:r>
          </w:p>
        </w:tc>
        <w:tc>
          <w:tcPr>
            <w:tcW w:w="8000" w:type="dxa"/>
            <w:vAlign w:val="center"/>
          </w:tcPr>
          <w:p w14:paraId="1F712F2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维护停用，进气、排气和测试三阀全部关闭且禁止开阀</w:t>
            </w:r>
          </w:p>
        </w:tc>
      </w:tr>
    </w:tbl>
    <w:p w14:paraId="18C89920"/>
    <w:p w14:paraId="1E461EC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状态转移如下图所示：</w:t>
      </w:r>
    </w:p>
    <w:p w14:paraId="1A5E7D71">
      <w:r>
        <w:rPr>
          <w:rFonts w:hint="default"/>
          <w:lang w:val="en-US" w:eastAsia="zh-CN"/>
        </w:rPr>
        <w:pict>
          <v:shape id="_x0000_i1025" o:spt="75" alt="状态转换" type="#_x0000_t75" style="height:303.05pt;width:523pt;" filled="f" o:preferrelative="t" stroked="f" coordsize="21600,21600">
            <v:path/>
            <v:fill on="f" focussize="0,0"/>
            <v:stroke on="f"/>
            <v:imagedata r:id="rId15" o:title="状态转换"/>
            <o:lock v:ext="edit" aspectratio="t"/>
            <w10:wrap type="none"/>
            <w10:anchorlock/>
          </v:shape>
        </w:pict>
      </w:r>
    </w:p>
    <w:p w14:paraId="10ADD3B8">
      <w:pPr>
        <w:pStyle w:val="3"/>
      </w:pPr>
      <w:r>
        <w:rPr>
          <w:rFonts w:hint="eastAsia"/>
        </w:rPr>
        <w:t>电磁阀控制模块</w:t>
      </w:r>
      <w:bookmarkEnd w:id="34"/>
    </w:p>
    <w:p w14:paraId="74C696A5">
      <w:pPr>
        <w:pStyle w:val="4"/>
        <w:ind w:left="240" w:leftChars="0" w:firstLineChars="0"/>
      </w:pPr>
      <w:r>
        <w:rPr>
          <w:rFonts w:hint="eastAsia"/>
          <w:lang w:val="en-US" w:eastAsia="zh-CN"/>
        </w:rPr>
        <w:t>硬件</w:t>
      </w:r>
    </w:p>
    <w:p w14:paraId="2780003E">
      <w:pPr>
        <w:spacing w:after="120"/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MCU通过VAL相关GPIO控制2N7002前级、光耦及后级功率器件，最终驱动电磁阀线圈。2N7002不是直接承载线圈电流的最终功率开关。系统每瓶使用一个供气阀和一个排气阀</w:t>
      </w:r>
      <w:r>
        <w:rPr>
          <w:rFonts w:hint="eastAsia"/>
          <w:lang w:val="en-US" w:eastAsia="zh-CN"/>
        </w:rPr>
        <w:t>以及一个测试阀</w:t>
      </w:r>
      <w:r>
        <w:rPr>
          <w:rFonts w:hint="eastAsia"/>
        </w:rPr>
        <w:t>，减压阀不受MCU控制。</w:t>
      </w:r>
      <w:r>
        <w:rPr>
          <w:rFonts w:hint="eastAsia"/>
          <w:lang w:val="en-US" w:eastAsia="zh-CN"/>
        </w:rPr>
        <w:t>所有电磁阀初始化上电之后全部置0。</w:t>
      </w:r>
    </w:p>
    <w:p w14:paraId="1079AA60"/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4F6F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669B6336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37116442">
            <w:r>
              <w:rPr>
                <w:rFonts w:hint="eastAsia"/>
              </w:rPr>
              <w:t>描述</w:t>
            </w:r>
          </w:p>
        </w:tc>
      </w:tr>
      <w:tr w14:paraId="022C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63B2C364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65F8E13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VAL相关信号 控制驱动</w:t>
            </w:r>
          </w:p>
        </w:tc>
      </w:tr>
    </w:tbl>
    <w:p w14:paraId="72B4DF1E"/>
    <w:p w14:paraId="50DB9A39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映射关系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2716"/>
        <w:gridCol w:w="2959"/>
        <w:gridCol w:w="2914"/>
      </w:tblGrid>
      <w:tr w14:paraId="2A44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  <w:vAlign w:val="center"/>
          </w:tcPr>
          <w:p w14:paraId="12030D4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气瓶</w:t>
            </w:r>
          </w:p>
        </w:tc>
        <w:tc>
          <w:tcPr>
            <w:tcW w:w="2716" w:type="dxa"/>
            <w:vAlign w:val="center"/>
          </w:tcPr>
          <w:p w14:paraId="19F3E9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供气阀</w:t>
            </w:r>
          </w:p>
        </w:tc>
        <w:tc>
          <w:tcPr>
            <w:tcW w:w="2959" w:type="dxa"/>
            <w:vAlign w:val="center"/>
          </w:tcPr>
          <w:p w14:paraId="0BF7951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</w:t>
            </w:r>
          </w:p>
        </w:tc>
        <w:tc>
          <w:tcPr>
            <w:tcW w:w="2914" w:type="dxa"/>
            <w:vAlign w:val="center"/>
          </w:tcPr>
          <w:p w14:paraId="5B22B7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</w:t>
            </w:r>
          </w:p>
        </w:tc>
      </w:tr>
      <w:tr w14:paraId="6A62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183CC82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16" w:type="dxa"/>
            <w:vAlign w:val="center"/>
          </w:tcPr>
          <w:p w14:paraId="70489C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</w:t>
            </w:r>
          </w:p>
        </w:tc>
        <w:tc>
          <w:tcPr>
            <w:tcW w:w="2959" w:type="dxa"/>
            <w:vAlign w:val="center"/>
          </w:tcPr>
          <w:p w14:paraId="355AF68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VAL2</w:t>
            </w:r>
          </w:p>
        </w:tc>
        <w:tc>
          <w:tcPr>
            <w:tcW w:w="2914" w:type="dxa"/>
            <w:vAlign w:val="center"/>
          </w:tcPr>
          <w:p w14:paraId="02A349B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VAL3</w:t>
            </w:r>
          </w:p>
        </w:tc>
      </w:tr>
      <w:tr w14:paraId="611A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1B81EA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16" w:type="dxa"/>
            <w:vAlign w:val="center"/>
          </w:tcPr>
          <w:p w14:paraId="484FFDC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VAL4</w:t>
            </w:r>
          </w:p>
        </w:tc>
        <w:tc>
          <w:tcPr>
            <w:tcW w:w="2959" w:type="dxa"/>
            <w:vAlign w:val="center"/>
          </w:tcPr>
          <w:p w14:paraId="7A7109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VAL5</w:t>
            </w:r>
          </w:p>
        </w:tc>
        <w:tc>
          <w:tcPr>
            <w:tcW w:w="2914" w:type="dxa"/>
            <w:vAlign w:val="center"/>
          </w:tcPr>
          <w:p w14:paraId="432E45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VAL6</w:t>
            </w:r>
          </w:p>
        </w:tc>
      </w:tr>
      <w:tr w14:paraId="64D8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421B59C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16" w:type="dxa"/>
            <w:vAlign w:val="center"/>
          </w:tcPr>
          <w:p w14:paraId="4F2D01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VAL7</w:t>
            </w:r>
          </w:p>
        </w:tc>
        <w:tc>
          <w:tcPr>
            <w:tcW w:w="2959" w:type="dxa"/>
            <w:vAlign w:val="center"/>
          </w:tcPr>
          <w:p w14:paraId="1E20AAF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VAL8</w:t>
            </w:r>
          </w:p>
        </w:tc>
        <w:tc>
          <w:tcPr>
            <w:tcW w:w="2914" w:type="dxa"/>
            <w:vAlign w:val="center"/>
          </w:tcPr>
          <w:p w14:paraId="49F276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VAL9</w:t>
            </w:r>
          </w:p>
        </w:tc>
      </w:tr>
      <w:tr w14:paraId="33C9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056EEC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16" w:type="dxa"/>
            <w:vAlign w:val="center"/>
          </w:tcPr>
          <w:p w14:paraId="7D04EA5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VAL10</w:t>
            </w:r>
          </w:p>
        </w:tc>
        <w:tc>
          <w:tcPr>
            <w:tcW w:w="2959" w:type="dxa"/>
            <w:vAlign w:val="center"/>
          </w:tcPr>
          <w:p w14:paraId="4A5FF35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VAL11</w:t>
            </w:r>
          </w:p>
        </w:tc>
        <w:tc>
          <w:tcPr>
            <w:tcW w:w="2914" w:type="dxa"/>
            <w:vAlign w:val="center"/>
          </w:tcPr>
          <w:p w14:paraId="6DFC5C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VAL12</w:t>
            </w:r>
          </w:p>
        </w:tc>
      </w:tr>
      <w:tr w14:paraId="72F3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545C03E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716" w:type="dxa"/>
            <w:vAlign w:val="center"/>
          </w:tcPr>
          <w:p w14:paraId="65976FE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VAL13</w:t>
            </w:r>
          </w:p>
        </w:tc>
        <w:tc>
          <w:tcPr>
            <w:tcW w:w="2959" w:type="dxa"/>
            <w:vAlign w:val="center"/>
          </w:tcPr>
          <w:p w14:paraId="31840F2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VAL14</w:t>
            </w:r>
          </w:p>
        </w:tc>
        <w:tc>
          <w:tcPr>
            <w:tcW w:w="2914" w:type="dxa"/>
            <w:vAlign w:val="center"/>
          </w:tcPr>
          <w:p w14:paraId="0D9D911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VAL15</w:t>
            </w:r>
          </w:p>
        </w:tc>
      </w:tr>
      <w:tr w14:paraId="0EE3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626F56A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716" w:type="dxa"/>
            <w:vAlign w:val="center"/>
          </w:tcPr>
          <w:p w14:paraId="639494A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VAL16</w:t>
            </w:r>
          </w:p>
        </w:tc>
        <w:tc>
          <w:tcPr>
            <w:tcW w:w="2959" w:type="dxa"/>
            <w:vAlign w:val="center"/>
          </w:tcPr>
          <w:p w14:paraId="5F6D132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VAL17</w:t>
            </w:r>
          </w:p>
        </w:tc>
        <w:tc>
          <w:tcPr>
            <w:tcW w:w="2914" w:type="dxa"/>
            <w:vAlign w:val="center"/>
          </w:tcPr>
          <w:p w14:paraId="7A00BD0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VAL18</w:t>
            </w:r>
          </w:p>
        </w:tc>
      </w:tr>
    </w:tbl>
    <w:p w14:paraId="76A98308">
      <w:pPr>
        <w:rPr>
          <w:rFonts w:hint="eastAsia"/>
          <w:lang w:val="en-US" w:eastAsia="zh-CN"/>
        </w:rPr>
      </w:pPr>
    </w:p>
    <w:p w14:paraId="591DDE11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逻辑关系</w:t>
      </w:r>
    </w:p>
    <w:p w14:paraId="3C0598A4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VAL1,VAL2,VAL3共享VAL_P1 </w:t>
      </w:r>
    </w:p>
    <w:tbl>
      <w:tblPr>
        <w:tblStyle w:val="23"/>
        <w:tblW w:w="1028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2962"/>
        <w:gridCol w:w="5645"/>
      </w:tblGrid>
      <w:tr w14:paraId="4F63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  <w:vAlign w:val="center"/>
          </w:tcPr>
          <w:p w14:paraId="4D115960">
            <w:pPr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962" w:type="dxa"/>
            <w:vAlign w:val="center"/>
          </w:tcPr>
          <w:p w14:paraId="51936B1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VAL_P1=1</w:t>
            </w:r>
          </w:p>
        </w:tc>
        <w:tc>
          <w:tcPr>
            <w:tcW w:w="5645" w:type="dxa"/>
            <w:vAlign w:val="center"/>
          </w:tcPr>
          <w:p w14:paraId="4E142BB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VAL_P1=0</w:t>
            </w:r>
          </w:p>
        </w:tc>
      </w:tr>
      <w:tr w14:paraId="642D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6903F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VAL=1</w:t>
            </w:r>
          </w:p>
        </w:tc>
        <w:tc>
          <w:tcPr>
            <w:tcW w:w="2962" w:type="dxa"/>
            <w:vAlign w:val="center"/>
          </w:tcPr>
          <w:p w14:paraId="1BF94C3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12V</w:t>
            </w:r>
          </w:p>
        </w:tc>
        <w:tc>
          <w:tcPr>
            <w:tcW w:w="5645" w:type="dxa"/>
            <w:vAlign w:val="center"/>
          </w:tcPr>
          <w:p w14:paraId="6EC46D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5V</w:t>
            </w:r>
          </w:p>
        </w:tc>
      </w:tr>
      <w:tr w14:paraId="4C55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01D7E82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VAL=0</w:t>
            </w:r>
          </w:p>
        </w:tc>
        <w:tc>
          <w:tcPr>
            <w:tcW w:w="2962" w:type="dxa"/>
            <w:vAlign w:val="center"/>
          </w:tcPr>
          <w:p w14:paraId="5C039BD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0V</w:t>
            </w:r>
          </w:p>
        </w:tc>
        <w:tc>
          <w:tcPr>
            <w:tcW w:w="5645" w:type="dxa"/>
            <w:vAlign w:val="center"/>
          </w:tcPr>
          <w:p w14:paraId="5FD217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0V</w:t>
            </w:r>
          </w:p>
        </w:tc>
      </w:tr>
    </w:tbl>
    <w:p w14:paraId="4B83AE58">
      <w:pPr>
        <w:rPr>
          <w:rFonts w:hint="default"/>
          <w:lang w:val="en-US" w:eastAsia="zh-CN"/>
        </w:rPr>
      </w:pPr>
    </w:p>
    <w:p w14:paraId="4329CF9E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电磁阀各状态操作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875"/>
        <w:gridCol w:w="2959"/>
        <w:gridCol w:w="2914"/>
      </w:tblGrid>
      <w:tr w14:paraId="743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4" w:type="dxa"/>
            <w:vAlign w:val="center"/>
          </w:tcPr>
          <w:p w14:paraId="0894236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气瓶状态</w:t>
            </w:r>
          </w:p>
        </w:tc>
        <w:tc>
          <w:tcPr>
            <w:tcW w:w="2875" w:type="dxa"/>
            <w:vAlign w:val="center"/>
          </w:tcPr>
          <w:p w14:paraId="39E3CA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进气阀</w:t>
            </w:r>
          </w:p>
        </w:tc>
        <w:tc>
          <w:tcPr>
            <w:tcW w:w="2959" w:type="dxa"/>
            <w:vAlign w:val="center"/>
          </w:tcPr>
          <w:p w14:paraId="1859BA9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</w:t>
            </w:r>
          </w:p>
        </w:tc>
        <w:tc>
          <w:tcPr>
            <w:tcW w:w="2914" w:type="dxa"/>
            <w:vAlign w:val="center"/>
          </w:tcPr>
          <w:p w14:paraId="719047C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</w:t>
            </w:r>
          </w:p>
        </w:tc>
      </w:tr>
      <w:tr w14:paraId="063A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0CB3E35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  <w:tc>
          <w:tcPr>
            <w:tcW w:w="2875" w:type="dxa"/>
            <w:vAlign w:val="center"/>
          </w:tcPr>
          <w:p w14:paraId="6328C95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6B3C76E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4A4C00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56C4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1957B76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待用</w:t>
            </w:r>
          </w:p>
        </w:tc>
        <w:tc>
          <w:tcPr>
            <w:tcW w:w="2875" w:type="dxa"/>
            <w:vAlign w:val="center"/>
          </w:tcPr>
          <w:p w14:paraId="021E50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始终紧闭，不可手动开闭；被选为工作瓶时由程序打开并转入使用</w:t>
            </w:r>
          </w:p>
        </w:tc>
        <w:tc>
          <w:tcPr>
            <w:tcW w:w="2959" w:type="dxa"/>
            <w:vAlign w:val="center"/>
          </w:tcPr>
          <w:p w14:paraId="1ACD7B3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6AC31B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176F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8A125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</w:p>
        </w:tc>
        <w:tc>
          <w:tcPr>
            <w:tcW w:w="2875" w:type="dxa"/>
            <w:vAlign w:val="center"/>
          </w:tcPr>
          <w:p w14:paraId="5233320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0F6D64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1B418D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  <w:tr w14:paraId="6FFD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7BF19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低压待换</w:t>
            </w:r>
          </w:p>
        </w:tc>
        <w:tc>
          <w:tcPr>
            <w:tcW w:w="2875" w:type="dxa"/>
            <w:vAlign w:val="center"/>
          </w:tcPr>
          <w:p w14:paraId="1B9B3AF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2D72DE1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46C66D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56F6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66D28C7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低压警告</w:t>
            </w:r>
          </w:p>
        </w:tc>
        <w:tc>
          <w:tcPr>
            <w:tcW w:w="2875" w:type="dxa"/>
            <w:vAlign w:val="center"/>
          </w:tcPr>
          <w:p w14:paraId="58AC2B0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始终打开，不可手动开闭；达到自动换瓶条件后由程序关闭</w:t>
            </w:r>
          </w:p>
        </w:tc>
        <w:tc>
          <w:tcPr>
            <w:tcW w:w="2959" w:type="dxa"/>
            <w:vAlign w:val="center"/>
          </w:tcPr>
          <w:p w14:paraId="4A01EB1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557EB24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  <w:tr w14:paraId="71E0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78E5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</w:t>
            </w:r>
          </w:p>
        </w:tc>
        <w:tc>
          <w:tcPr>
            <w:tcW w:w="2875" w:type="dxa"/>
            <w:vAlign w:val="center"/>
          </w:tcPr>
          <w:p w14:paraId="45A331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31CD114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6EFE500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</w:tbl>
    <w:p w14:paraId="056B5E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为保证安全测试阀受到最多打开一分钟的限制，排气阀固定五秒。</w:t>
      </w:r>
    </w:p>
    <w:p w14:paraId="31ED537C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软件</w:t>
      </w:r>
    </w:p>
    <w:p w14:paraId="45A2ED5A">
      <w:pPr>
        <w:ind w:firstLine="480" w:firstLineChars="200"/>
        <w:rPr>
          <w:rFonts w:hint="eastAsia"/>
        </w:rPr>
      </w:pPr>
      <w:r>
        <w:rPr>
          <w:rFonts w:hint="eastAsia"/>
        </w:rPr>
        <w:t>所有阀门动作统一由阀门功能层仲裁。应用层、HMI和外部通信不得直接写GPIO。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7916"/>
      </w:tblGrid>
      <w:tr w14:paraId="55D5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6B3E6E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</w:t>
            </w:r>
          </w:p>
        </w:tc>
        <w:tc>
          <w:tcPr>
            <w:tcW w:w="7916" w:type="dxa"/>
          </w:tcPr>
          <w:p w14:paraId="11E5BE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处理方式</w:t>
            </w:r>
          </w:p>
        </w:tc>
      </w:tr>
      <w:tr w14:paraId="046E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5A37C802">
            <w:pPr>
              <w:rPr>
                <w:rFonts w:hint="eastAsia"/>
              </w:rPr>
            </w:pPr>
            <w:r>
              <w:rPr>
                <w:rFonts w:hint="eastAsia"/>
              </w:rPr>
              <w:t>最多一路供气</w:t>
            </w:r>
          </w:p>
        </w:tc>
        <w:tc>
          <w:tcPr>
            <w:tcW w:w="7916" w:type="dxa"/>
          </w:tcPr>
          <w:p w14:paraId="344C24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请求打开供气阀前检查其余五路；发现多路同时开启时关闭全部阀并置严重报警。</w:t>
            </w:r>
            <w:r>
              <w:rPr>
                <w:rFonts w:hint="eastAsia"/>
                <w:lang w:val="en-US" w:eastAsia="zh-CN"/>
              </w:rPr>
              <w:t>可以设置报警代码</w:t>
            </w:r>
          </w:p>
        </w:tc>
      </w:tr>
      <w:tr w14:paraId="730D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0A7170BA">
            <w:pPr>
              <w:rPr>
                <w:rFonts w:hint="eastAsia"/>
              </w:rPr>
            </w:pPr>
            <w:r>
              <w:rPr>
                <w:rFonts w:hint="eastAsia"/>
              </w:rPr>
              <w:t>同瓶供排气互斥</w:t>
            </w:r>
          </w:p>
        </w:tc>
        <w:tc>
          <w:tcPr>
            <w:tcW w:w="7916" w:type="dxa"/>
          </w:tcPr>
          <w:p w14:paraId="407E3EB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供气阀开启时拒绝打开同瓶排气阀</w:t>
            </w:r>
            <w:r>
              <w:rPr>
                <w:rFonts w:hint="eastAsia"/>
                <w:lang w:val="en-US" w:eastAsia="zh-CN"/>
              </w:rPr>
              <w:t>和测试阀</w:t>
            </w:r>
            <w:r>
              <w:rPr>
                <w:rFonts w:hint="eastAsia"/>
              </w:rPr>
              <w:t>；排气阀</w:t>
            </w:r>
            <w:r>
              <w:rPr>
                <w:rFonts w:hint="eastAsia"/>
                <w:lang w:val="en-US" w:eastAsia="zh-CN"/>
              </w:rPr>
              <w:t>和测试阀属于人员控制功能</w:t>
            </w:r>
          </w:p>
        </w:tc>
      </w:tr>
      <w:tr w14:paraId="46CC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3FAD7543">
            <w:pPr>
              <w:rPr>
                <w:rFonts w:hint="eastAsia"/>
              </w:rPr>
            </w:pPr>
            <w:r>
              <w:rPr>
                <w:rFonts w:hint="eastAsia"/>
              </w:rPr>
              <w:t>上电与复位安全</w:t>
            </w:r>
          </w:p>
        </w:tc>
        <w:tc>
          <w:tcPr>
            <w:tcW w:w="7916" w:type="dxa"/>
          </w:tcPr>
          <w:p w14:paraId="7E32E938">
            <w:pPr>
              <w:rPr>
                <w:rFonts w:hint="eastAsia"/>
              </w:rPr>
            </w:pPr>
            <w:r>
              <w:rPr>
                <w:rFonts w:hint="eastAsia"/>
              </w:rPr>
              <w:t>初始化、停止、平台未就绪或控制异常时执行全部阀门关闭。</w:t>
            </w:r>
          </w:p>
          <w:p w14:paraId="05C7DC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初始化后所有阀门控制默认置0</w:t>
            </w:r>
          </w:p>
        </w:tc>
      </w:tr>
    </w:tbl>
    <w:p w14:paraId="1BEBCE59">
      <w:pPr>
        <w:rPr>
          <w:rFonts w:hint="eastAsia"/>
          <w:lang w:val="en-US" w:eastAsia="zh-CN"/>
        </w:rPr>
      </w:pPr>
    </w:p>
    <w:p w14:paraId="257F659D">
      <w:pPr>
        <w:pStyle w:val="3"/>
        <w:spacing w:after="120"/>
        <w:rPr>
          <w:rFonts w:hint="eastAsia"/>
        </w:rPr>
      </w:pPr>
      <w:bookmarkStart w:id="35" w:name="_Toc237520491"/>
      <w:r>
        <w:rPr>
          <w:rFonts w:hint="eastAsia"/>
        </w:rPr>
        <w:t>自动切瓶控制模块</w:t>
      </w:r>
      <w:bookmarkEnd w:id="35"/>
    </w:p>
    <w:p w14:paraId="150A622C">
      <w:pPr>
        <w:pStyle w:val="4"/>
        <w:spacing w:after="120"/>
        <w:rPr>
          <w:rFonts w:hint="eastAsia"/>
        </w:rPr>
      </w:pPr>
      <w:bookmarkStart w:id="36" w:name="_Toc237520492"/>
      <w:r>
        <w:rPr>
          <w:rFonts w:hint="eastAsia"/>
        </w:rPr>
        <w:t>低压判定</w:t>
      </w:r>
      <w:bookmarkEnd w:id="36"/>
    </w:p>
    <w:p w14:paraId="5D1790EF">
      <w:pPr>
        <w:spacing w:after="120"/>
        <w:ind w:firstLine="420"/>
        <w:rPr>
          <w:rFonts w:hint="eastAsia"/>
        </w:rPr>
      </w:pPr>
      <w:r>
        <w:rPr>
          <w:rFonts w:hint="eastAsia"/>
        </w:rPr>
        <w:t>当前工作瓶压力小于或等于1.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MPa时进入低压确认。为避免压力在阈值附近波动造成误切换，采用1.3 MPa释放回差，并要求至少连续3个独立有效样本且持续时间不少于1s。以上回差、样本数和持续时间为当前工程初值，需要结合传感器刷新周期和现场压力波动验证。</w:t>
      </w:r>
    </w:p>
    <w:p w14:paraId="67AA20D8">
      <w:pPr>
        <w:spacing w:after="12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主要目的是为防止现场对传感器参数的影响</w:t>
      </w:r>
    </w:p>
    <w:p w14:paraId="416B2E41">
      <w:pPr>
        <w:pStyle w:val="4"/>
        <w:spacing w:after="120"/>
        <w:rPr>
          <w:rFonts w:hint="eastAsia"/>
        </w:rPr>
      </w:pPr>
      <w:bookmarkStart w:id="37" w:name="_Toc237520493"/>
      <w:r>
        <w:rPr>
          <w:rFonts w:hint="eastAsia"/>
        </w:rPr>
        <w:t>备用瓶选择</w:t>
      </w:r>
      <w:bookmarkEnd w:id="37"/>
    </w:p>
    <w:p w14:paraId="5C715935">
      <w:pPr>
        <w:spacing w:after="120"/>
        <w:ind w:firstLine="420"/>
        <w:rPr>
          <w:rFonts w:hint="eastAsia"/>
        </w:rPr>
      </w:pPr>
      <w:r>
        <w:rPr>
          <w:rFonts w:hint="eastAsia"/>
        </w:rPr>
        <w:t>备用瓶按照1→2→3→4→5→6→1的顺序循环选择，从当前瓶的下一编号开始查找。候选瓶必须处于</w:t>
      </w:r>
      <w:r>
        <w:rPr>
          <w:rFonts w:hint="eastAsia"/>
          <w:lang w:val="en-US" w:eastAsia="zh-CN"/>
        </w:rPr>
        <w:t>待用状态</w:t>
      </w:r>
      <w:r>
        <w:rPr>
          <w:rFonts w:hint="eastAsia"/>
        </w:rPr>
        <w:t>。1.5 MPa为当前设计初值，可在实机验证后调整。</w:t>
      </w:r>
    </w:p>
    <w:p w14:paraId="21C7BD3C">
      <w:pPr>
        <w:pStyle w:val="4"/>
        <w:spacing w:after="120"/>
        <w:rPr>
          <w:rFonts w:hint="eastAsia"/>
        </w:rPr>
      </w:pPr>
      <w:bookmarkStart w:id="38" w:name="_Toc237520494"/>
      <w:r>
        <w:rPr>
          <w:rFonts w:hint="eastAsia"/>
        </w:rPr>
        <w:t>切换时序</w:t>
      </w:r>
      <w:bookmarkEnd w:id="38"/>
    </w:p>
    <w:tbl>
      <w:tblPr>
        <w:tblStyle w:val="23"/>
        <w:tblW w:w="10275" w:type="dxa"/>
        <w:tblInd w:w="4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268"/>
        <w:gridCol w:w="7301"/>
      </w:tblGrid>
      <w:tr w14:paraId="3417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6" w:type="dxa"/>
            <w:shd w:val="clear" w:color="auto" w:fill="FFFFFF" w:themeFill="background1"/>
            <w:vAlign w:val="center"/>
          </w:tcPr>
          <w:p w14:paraId="72E1B7A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步骤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4EC12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状态/动作</w:t>
            </w:r>
          </w:p>
        </w:tc>
        <w:tc>
          <w:tcPr>
            <w:tcW w:w="7301" w:type="dxa"/>
            <w:shd w:val="clear" w:color="auto" w:fill="FFFFFF" w:themeFill="background1"/>
            <w:vAlign w:val="center"/>
          </w:tcPr>
          <w:p w14:paraId="6054E66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5E2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778E9D5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353695E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确认低压</w:t>
            </w:r>
          </w:p>
        </w:tc>
        <w:tc>
          <w:tcPr>
            <w:tcW w:w="7301" w:type="dxa"/>
            <w:vAlign w:val="center"/>
          </w:tcPr>
          <w:p w14:paraId="0A21987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当前ACTIVE瓶满足1.5 MPa、样本数和持续时间条件。</w:t>
            </w:r>
          </w:p>
        </w:tc>
      </w:tr>
      <w:tr w14:paraId="5EE7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21A10FA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3AE1869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查找备用瓶</w:t>
            </w:r>
          </w:p>
        </w:tc>
        <w:tc>
          <w:tcPr>
            <w:tcW w:w="7301" w:type="dxa"/>
            <w:vAlign w:val="center"/>
          </w:tcPr>
          <w:p w14:paraId="78F4B59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按固定顺序选择第一只满足条件的待用气瓶。</w:t>
            </w:r>
          </w:p>
        </w:tc>
      </w:tr>
      <w:tr w14:paraId="5E3E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7DAF92B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268" w:type="dxa"/>
            <w:vAlign w:val="center"/>
          </w:tcPr>
          <w:p w14:paraId="539C9F5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关闭旧瓶</w:t>
            </w:r>
          </w:p>
        </w:tc>
        <w:tc>
          <w:tcPr>
            <w:tcW w:w="7301" w:type="dxa"/>
            <w:vAlign w:val="center"/>
          </w:tcPr>
          <w:p w14:paraId="3A9AC32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向旧瓶供气阀发送OFF，并保持其他备用供气阀关闭。</w:t>
            </w:r>
          </w:p>
        </w:tc>
      </w:tr>
      <w:tr w14:paraId="3543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169C36E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268" w:type="dxa"/>
            <w:vAlign w:val="center"/>
          </w:tcPr>
          <w:p w14:paraId="01F30E5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切换死区</w:t>
            </w:r>
          </w:p>
        </w:tc>
        <w:tc>
          <w:tcPr>
            <w:tcW w:w="7301" w:type="dxa"/>
            <w:vAlign w:val="center"/>
          </w:tcPr>
          <w:p w14:paraId="6479F1F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等待500ms；该值应大于电磁阀最大关闭时间并经实机确认。</w:t>
            </w:r>
          </w:p>
        </w:tc>
      </w:tr>
      <w:tr w14:paraId="1F85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094F4B5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268" w:type="dxa"/>
            <w:vAlign w:val="center"/>
          </w:tcPr>
          <w:p w14:paraId="42094E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打开新瓶</w:t>
            </w:r>
          </w:p>
        </w:tc>
        <w:tc>
          <w:tcPr>
            <w:tcW w:w="7301" w:type="dxa"/>
            <w:vAlign w:val="center"/>
          </w:tcPr>
          <w:p w14:paraId="7A22AE4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向候选瓶供气阀发送ON，旧瓶继续保持OFF。</w:t>
            </w:r>
          </w:p>
        </w:tc>
      </w:tr>
      <w:tr w14:paraId="5E6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656A3B4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268" w:type="dxa"/>
            <w:vAlign w:val="center"/>
          </w:tcPr>
          <w:p w14:paraId="3771619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开启等待</w:t>
            </w:r>
          </w:p>
        </w:tc>
        <w:tc>
          <w:tcPr>
            <w:tcW w:w="7301" w:type="dxa"/>
            <w:vAlign w:val="center"/>
          </w:tcPr>
          <w:p w14:paraId="13B9EAA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等待500ms后将新瓶设为使用，旧瓶设为低压待换。</w:t>
            </w:r>
          </w:p>
        </w:tc>
      </w:tr>
    </w:tbl>
    <w:p w14:paraId="04D4DB6C">
      <w:pPr>
        <w:spacing w:after="120"/>
        <w:ind w:firstLine="420"/>
        <w:rPr>
          <w:rFonts w:hint="eastAsia"/>
        </w:rPr>
      </w:pPr>
      <w:r>
        <w:rPr>
          <w:rFonts w:hint="eastAsia"/>
        </w:rPr>
        <w:t>系统允许切换期间短暂断气，因此不得实现两瓶供气阀重叠开启。没有可用备用瓶时，系统保持原工作瓶供气并产生“无备用瓶”严重报警；不得先关闭旧瓶后再判断备用瓶。ACTIVE传感器通信失效时冻结自动切瓶，不得将无效数据当作0 MPa。</w:t>
      </w:r>
    </w:p>
    <w:sectPr>
      <w:headerReference r:id="rId12" w:type="default"/>
      <w:footerReference r:id="rId13" w:type="default"/>
      <w:pgSz w:w="11906" w:h="16838"/>
      <w:pgMar w:top="720" w:right="720" w:bottom="720" w:left="72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21209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 xml:space="preserve">第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PAGE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sz w:val="21"/>
      </w:rPr>
      <w:t>1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 共</w:t>
    </w:r>
    <w:r>
      <w:rPr>
        <w:rFonts w:hint="eastAsia" w:ascii="宋体" w:hAnsi="宋体"/>
        <w:sz w:val="18"/>
        <w:szCs w:val="20"/>
      </w:rPr>
      <w:t xml:space="preserve">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sectionPAGES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rFonts w:hint="eastAsia" w:ascii="宋体" w:hAnsi="宋体"/>
        <w:sz w:val="18"/>
        <w:szCs w:val="20"/>
      </w:rPr>
      <w:t>2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</w:t>
    </w:r>
  </w:p>
  <w:p w14:paraId="5A0AAF52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2390"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A471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B49BB">
    <w:pPr>
      <w:jc w:val="center"/>
      <w:rPr>
        <w:rFonts w:ascii="宋体"/>
        <w:szCs w:val="21"/>
      </w:rPr>
    </w:pPr>
    <w:r>
      <w:rPr>
        <w:rFonts w:hint="eastAsia" w:ascii="宋体"/>
        <w:szCs w:val="21"/>
      </w:rPr>
      <w:t xml:space="preserve">第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PAGE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 共</w:t>
    </w:r>
    <w:r>
      <w:rPr>
        <w:rFonts w:hint="eastAsia" w:ascii="宋体" w:hAnsi="宋体"/>
        <w:szCs w:val="21"/>
      </w:rPr>
      <w:t xml:space="preserve">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sectionPAGES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hint="eastAsia" w:ascii="宋体" w:hAnsi="宋体"/>
        <w:szCs w:val="21"/>
      </w:rPr>
      <w:t>10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52887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18"/>
      </w:rPr>
    </w:pPr>
    <w:r>
      <w:rPr>
        <w:rFonts w:hint="eastAsia"/>
        <w:sz w:val="28"/>
        <w:szCs w:val="18"/>
      </w:rPr>
      <w:t>成都昶艾电子科技有限公司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97FA">
    <w:pPr>
      <w:pStyle w:val="16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42AAB">
    <w:pPr>
      <w:pBdr>
        <w:bottom w:val="single" w:color="auto" w:sz="4" w:space="1"/>
      </w:pBdr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成都昶艾电子科技有限公司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4A088">
    <w:pPr>
      <w:pStyle w:val="16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7E3B">
    <w:pPr>
      <w:pBdr>
        <w:bottom w:val="single" w:color="auto" w:sz="4" w:space="1"/>
      </w:pBdr>
      <w:jc w:val="left"/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</w:t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    成都昶艾电子科技有限公司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35780"/>
    <w:multiLevelType w:val="multilevel"/>
    <w:tmpl w:val="C4E35780"/>
    <w:lvl w:ilvl="0" w:tentative="0">
      <w:start w:val="1"/>
      <w:numFmt w:val="chineseCountingThousand"/>
      <w:pStyle w:val="2"/>
      <w:suff w:val="space"/>
      <w:lvlText w:val="第%1章"/>
      <w:lvlJc w:val="left"/>
      <w:rPr>
        <w:rFonts w:hint="eastAsia"/>
        <w:b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360"/>
        </w:tabs>
      </w:p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 w:tentative="0">
      <w:start w:val="1"/>
      <w:numFmt w:val="decimal"/>
      <w:pStyle w:val="5"/>
      <w:isLgl/>
      <w:lvlText w:val="%3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40C0"/>
    <w:rsid w:val="00385308"/>
    <w:rsid w:val="00390500"/>
    <w:rsid w:val="0039050C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36"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37"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8">
    <w:name w:val="heading 7"/>
    <w:basedOn w:val="1"/>
    <w:next w:val="1"/>
    <w:link w:val="38"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9">
    <w:name w:val="heading 8"/>
    <w:basedOn w:val="1"/>
    <w:next w:val="1"/>
    <w:link w:val="39"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10">
    <w:name w:val="heading 9"/>
    <w:basedOn w:val="1"/>
    <w:next w:val="1"/>
    <w:link w:val="40"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1"/>
    <w:unhideWhenUsed/>
    <w:qFormat/>
    <w:uiPriority w:val="99"/>
    <w:rPr>
      <w:rFonts w:ascii="宋体"/>
      <w:sz w:val="18"/>
      <w:szCs w:val="18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Body Text 2"/>
    <w:basedOn w:val="1"/>
    <w:qFormat/>
    <w:uiPriority w:val="0"/>
    <w:rPr>
      <w:b/>
      <w:bCs/>
      <w:sz w:val="28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</w:rPr>
  </w:style>
  <w:style w:type="paragraph" w:styleId="22">
    <w:name w:val="annotation subject"/>
    <w:basedOn w:val="12"/>
    <w:next w:val="12"/>
    <w:link w:val="44"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22"/>
    <w:rPr>
      <w:b/>
    </w:rPr>
  </w:style>
  <w:style w:type="character" w:styleId="27">
    <w:name w:val="page number"/>
    <w:qFormat/>
    <w:uiPriority w:val="0"/>
  </w:style>
  <w:style w:type="character" w:styleId="28">
    <w:name w:val="FollowedHyperlink"/>
    <w:unhideWhenUsed/>
    <w:qFormat/>
    <w:uiPriority w:val="99"/>
    <w:rPr>
      <w:color w:val="954F72"/>
      <w:u w:val="single"/>
    </w:rPr>
  </w:style>
  <w:style w:type="character" w:styleId="29">
    <w:name w:val="Hyperlink"/>
    <w:qFormat/>
    <w:uiPriority w:val="99"/>
    <w:rPr>
      <w:color w:val="0000FF"/>
      <w:u w:val="single"/>
    </w:rPr>
  </w:style>
  <w:style w:type="character" w:styleId="30">
    <w:name w:val="HTML Code"/>
    <w:unhideWhenUsed/>
    <w:qFormat/>
    <w:uiPriority w:val="99"/>
    <w:rPr>
      <w:rFonts w:ascii="Courier New" w:hAnsi="Courier New"/>
      <w:sz w:val="20"/>
    </w:rPr>
  </w:style>
  <w:style w:type="character" w:styleId="31">
    <w:name w:val="annotation reference"/>
    <w:unhideWhenUsed/>
    <w:qFormat/>
    <w:uiPriority w:val="99"/>
    <w:rPr>
      <w:sz w:val="21"/>
      <w:szCs w:val="21"/>
    </w:rPr>
  </w:style>
  <w:style w:type="character" w:customStyle="1" w:styleId="32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3">
    <w:name w:val="标题 2 字符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34">
    <w:name w:val="标题 3 字符"/>
    <w:link w:val="4"/>
    <w:qFormat/>
    <w:uiPriority w:val="0"/>
    <w:rPr>
      <w:b/>
      <w:bCs/>
      <w:sz w:val="32"/>
      <w:szCs w:val="32"/>
    </w:rPr>
  </w:style>
  <w:style w:type="character" w:customStyle="1" w:styleId="35">
    <w:name w:val="标题 4 字符"/>
    <w:link w:val="5"/>
    <w:qFormat/>
    <w:uiPriority w:val="0"/>
    <w:rPr>
      <w:rFonts w:ascii="Cambria" w:hAnsi="Cambria"/>
      <w:b/>
      <w:bCs/>
      <w:sz w:val="28"/>
      <w:szCs w:val="28"/>
    </w:rPr>
  </w:style>
  <w:style w:type="character" w:customStyle="1" w:styleId="36">
    <w:name w:val="标题 5 字符"/>
    <w:link w:val="6"/>
    <w:qFormat/>
    <w:uiPriority w:val="0"/>
    <w:rPr>
      <w:b/>
      <w:bCs/>
      <w:sz w:val="28"/>
      <w:szCs w:val="28"/>
    </w:rPr>
  </w:style>
  <w:style w:type="character" w:customStyle="1" w:styleId="37">
    <w:name w:val="标题 6 字符"/>
    <w:link w:val="7"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38">
    <w:name w:val="标题 7 字符"/>
    <w:link w:val="8"/>
    <w:qFormat/>
    <w:uiPriority w:val="0"/>
    <w:rPr>
      <w:b/>
      <w:bCs/>
      <w:sz w:val="24"/>
      <w:szCs w:val="24"/>
    </w:rPr>
  </w:style>
  <w:style w:type="character" w:customStyle="1" w:styleId="39">
    <w:name w:val="标题 8 字符"/>
    <w:link w:val="9"/>
    <w:qFormat/>
    <w:uiPriority w:val="0"/>
    <w:rPr>
      <w:rFonts w:ascii="Cambria" w:hAnsi="Cambria"/>
      <w:sz w:val="24"/>
      <w:szCs w:val="24"/>
    </w:rPr>
  </w:style>
  <w:style w:type="character" w:customStyle="1" w:styleId="40">
    <w:name w:val="标题 9 字符"/>
    <w:link w:val="10"/>
    <w:qFormat/>
    <w:uiPriority w:val="0"/>
    <w:rPr>
      <w:rFonts w:ascii="Cambria" w:hAnsi="Cambria"/>
      <w:szCs w:val="21"/>
    </w:rPr>
  </w:style>
  <w:style w:type="character" w:customStyle="1" w:styleId="41">
    <w:name w:val="文档结构图 字符"/>
    <w:link w:val="11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42">
    <w:name w:val="批注文字 字符"/>
    <w:link w:val="12"/>
    <w:semiHidden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43">
    <w:name w:val="批注框文本 字符"/>
    <w:link w:val="14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44">
    <w:name w:val="批注主题 字符"/>
    <w:link w:val="22"/>
    <w:semiHidden/>
    <w:qFormat/>
    <w:uiPriority w:val="99"/>
    <w:rPr>
      <w:rFonts w:ascii="Calibri" w:hAnsi="Calibri"/>
      <w:b/>
      <w:bCs/>
      <w:kern w:val="2"/>
      <w:sz w:val="24"/>
      <w:szCs w:val="22"/>
    </w:rPr>
  </w:style>
  <w:style w:type="character" w:customStyle="1" w:styleId="45">
    <w:name w:val="批注框文本 Char"/>
    <w:link w:val="46"/>
    <w:qFormat/>
    <w:uiPriority w:val="0"/>
    <w:rPr>
      <w:sz w:val="18"/>
      <w:szCs w:val="18"/>
    </w:rPr>
  </w:style>
  <w:style w:type="paragraph" w:customStyle="1" w:styleId="46">
    <w:name w:val="批注框文本1"/>
    <w:basedOn w:val="1"/>
    <w:link w:val="45"/>
    <w:qFormat/>
    <w:uiPriority w:val="0"/>
    <w:rPr>
      <w:rFonts w:ascii="Times New Roman" w:hAnsi="Times New Roman"/>
      <w:kern w:val="0"/>
      <w:sz w:val="18"/>
      <w:szCs w:val="18"/>
    </w:rPr>
  </w:style>
  <w:style w:type="character" w:customStyle="1" w:styleId="47">
    <w:name w:val="页眉 Char Char"/>
    <w:link w:val="48"/>
    <w:qFormat/>
    <w:uiPriority w:val="0"/>
    <w:rPr>
      <w:sz w:val="18"/>
      <w:szCs w:val="18"/>
    </w:rPr>
  </w:style>
  <w:style w:type="paragraph" w:customStyle="1" w:styleId="48">
    <w:name w:val="页眉1"/>
    <w:basedOn w:val="1"/>
    <w:link w:val="4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49">
    <w:name w:val="标题 Char"/>
    <w:link w:val="50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0">
    <w:name w:val="标题1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51">
    <w:name w:val="页脚 Char Char"/>
    <w:link w:val="52"/>
    <w:qFormat/>
    <w:uiPriority w:val="0"/>
    <w:rPr>
      <w:sz w:val="18"/>
      <w:szCs w:val="18"/>
    </w:rPr>
  </w:style>
  <w:style w:type="paragraph" w:customStyle="1" w:styleId="52">
    <w:name w:val="页脚1"/>
    <w:basedOn w:val="1"/>
    <w:link w:val="5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53">
    <w:name w:val="MM Title Char Char"/>
    <w:link w:val="54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4">
    <w:name w:val="MM Title"/>
    <w:basedOn w:val="50"/>
    <w:link w:val="53"/>
    <w:qFormat/>
    <w:uiPriority w:val="0"/>
  </w:style>
  <w:style w:type="character" w:customStyle="1" w:styleId="55">
    <w:name w:val="日期 Char"/>
    <w:link w:val="56"/>
    <w:qFormat/>
    <w:uiPriority w:val="0"/>
  </w:style>
  <w:style w:type="paragraph" w:customStyle="1" w:styleId="56">
    <w:name w:val="日期1"/>
    <w:basedOn w:val="1"/>
    <w:next w:val="1"/>
    <w:link w:val="55"/>
    <w:qFormat/>
    <w:uiPriority w:val="0"/>
    <w:pPr>
      <w:ind w:left="100" w:leftChars="2500"/>
    </w:pPr>
  </w:style>
  <w:style w:type="paragraph" w:customStyle="1" w:styleId="57">
    <w:name w:val="MM Topic 1"/>
    <w:basedOn w:val="2"/>
    <w:qFormat/>
    <w:uiPriority w:val="0"/>
  </w:style>
  <w:style w:type="paragraph" w:customStyle="1" w:styleId="58">
    <w:name w:val="列表段落1"/>
    <w:basedOn w:val="1"/>
    <w:qFormat/>
    <w:uiPriority w:val="0"/>
    <w:pPr>
      <w:widowControl/>
      <w:spacing w:after="80"/>
      <w:ind w:firstLine="420" w:firstLineChars="20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5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60">
    <w:name w:val="Unresolved Mention"/>
    <w:unhideWhenUsed/>
    <w:qFormat/>
    <w:uiPriority w:val="99"/>
    <w:rPr>
      <w:color w:val="605E5C"/>
      <w:shd w:val="clear" w:color="auto" w:fill="E1DFDD"/>
    </w:rPr>
  </w:style>
  <w:style w:type="character" w:customStyle="1" w:styleId="61">
    <w:name w:val="Intense Reference"/>
    <w:qFormat/>
    <w:uiPriority w:val="32"/>
    <w:rPr>
      <w:b/>
      <w:bCs/>
      <w:smallCaps/>
      <w:color w:val="4472C4"/>
      <w:spacing w:val="5"/>
    </w:rPr>
  </w:style>
  <w:style w:type="paragraph" w:customStyle="1" w:styleId="62">
    <w:name w:val="BodyCN"/>
    <w:qFormat/>
    <w:uiPriority w:val="0"/>
    <w:pPr>
      <w:spacing w:after="100" w:line="360" w:lineRule="auto"/>
      <w:ind w:firstLine="420"/>
      <w:jc w:val="both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  <w:style w:type="paragraph" w:customStyle="1" w:styleId="63">
    <w:name w:val="BulletCN"/>
    <w:qFormat/>
    <w:uiPriority w:val="0"/>
    <w:pPr>
      <w:spacing w:after="60" w:line="276" w:lineRule="auto"/>
      <w:ind w:left="397" w:hanging="198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3567</Words>
  <Characters>4021</Characters>
  <Lines>272</Lines>
  <Paragraphs>145</Paragraphs>
  <TotalTime>131</TotalTime>
  <ScaleCrop>false</ScaleCrop>
  <LinksUpToDate>false</LinksUpToDate>
  <CharactersWithSpaces>4305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2026-08-13T02:28:00Z</dcterms:created>
  <dc:creator>fun</dc:creator>
  <cp:lastModifiedBy>Mr.</cp:lastModifiedBy>
  <cp:lastPrinted>2026-08-13T02:48:00Z</cp:lastPrinted>
  <dcterms:modified xsi:type="dcterms:W3CDTF">2026-09-10T05:17:22Z</dcterms:modified>
  <dc:title>立项报告模板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