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687CA0">
      <w:pPr>
        <w:rPr>
          <w:rFonts w:hint="eastAsia" w:ascii="宋体" w:hAnsi="宋体" w:cs="宋体"/>
          <w:kern w:val="0"/>
          <w:sz w:val="44"/>
          <w:szCs w:val="44"/>
          <w:lang w:val="zh-CN"/>
        </w:rPr>
      </w:pPr>
    </w:p>
    <w:p w14:paraId="6E81DDCA">
      <w:pPr>
        <w:jc w:val="center"/>
        <w:rPr>
          <w:rFonts w:hint="eastAsia" w:ascii="宋体" w:hAnsi="宋体" w:cs="宋体"/>
          <w:kern w:val="0"/>
          <w:sz w:val="44"/>
          <w:szCs w:val="44"/>
          <w:u w:val="single"/>
          <w:lang w:val="zh-CN"/>
        </w:rPr>
      </w:pPr>
    </w:p>
    <w:p w14:paraId="07267C28">
      <w:pPr>
        <w:jc w:val="center"/>
        <w:rPr>
          <w:rFonts w:hint="eastAsia" w:ascii="宋体" w:hAnsi="宋体"/>
          <w:sz w:val="44"/>
          <w:szCs w:val="44"/>
        </w:rPr>
      </w:pPr>
    </w:p>
    <w:p w14:paraId="6A75C20D">
      <w:pPr>
        <w:jc w:val="center"/>
        <w:rPr>
          <w:rFonts w:hint="eastAsia" w:ascii="宋体" w:hAnsi="宋体"/>
          <w:sz w:val="44"/>
          <w:szCs w:val="44"/>
        </w:rPr>
      </w:pPr>
    </w:p>
    <w:p w14:paraId="42A25D6A">
      <w:pPr>
        <w:jc w:val="center"/>
        <w:rPr>
          <w:rFonts w:hint="eastAsia" w:ascii="宋体" w:hAnsi="宋体"/>
          <w:sz w:val="44"/>
          <w:szCs w:val="44"/>
        </w:rPr>
      </w:pPr>
    </w:p>
    <w:p w14:paraId="69E68C8A">
      <w:pPr>
        <w:jc w:val="center"/>
        <w:rPr>
          <w:rFonts w:hint="eastAsia" w:ascii="宋体" w:hAnsi="宋体"/>
          <w:sz w:val="44"/>
          <w:szCs w:val="44"/>
        </w:rPr>
      </w:pPr>
    </w:p>
    <w:p w14:paraId="4CAA6C97">
      <w:pPr>
        <w:pStyle w:val="64"/>
        <w:rPr>
          <w:rFonts w:hint="eastAsia" w:cs="Calibri"/>
          <w:szCs w:val="44"/>
        </w:rPr>
      </w:pPr>
      <w:r>
        <w:rPr>
          <w:rFonts w:ascii="Calibri" w:hAnsi="Calibri"/>
          <w:b w:val="0"/>
        </w:rPr>
        <w:t>六路流量计控制系统项目</w:t>
      </w:r>
    </w:p>
    <w:p w14:paraId="4114AA42">
      <w:pPr>
        <w:pStyle w:val="64"/>
        <w:rPr>
          <w:rFonts w:hint="eastAsia" w:cs="Calibri"/>
          <w:szCs w:val="44"/>
        </w:rPr>
      </w:pPr>
      <w:r>
        <w:rPr>
          <w:rFonts w:ascii="Calibri" w:hAnsi="Calibri"/>
          <w:b w:val="0"/>
        </w:rPr>
        <w:t xml:space="preserve">软 件  </w:t>
      </w:r>
      <w:bookmarkStart w:id="25" w:name="_GoBack"/>
      <w:bookmarkEnd w:id="25"/>
      <w:r>
        <w:rPr>
          <w:rFonts w:ascii="Calibri" w:hAnsi="Calibri"/>
          <w:b w:val="0"/>
        </w:rPr>
        <w:t>设 计</w:t>
      </w:r>
    </w:p>
    <w:p w14:paraId="50D471CE">
      <w:pPr>
        <w:jc w:val="center"/>
        <w:rPr>
          <w:rFonts w:hint="eastAsia" w:ascii="宋体" w:hAnsi="宋体"/>
          <w:sz w:val="44"/>
          <w:szCs w:val="44"/>
        </w:rPr>
      </w:pPr>
    </w:p>
    <w:p w14:paraId="011EBEC9">
      <w:pPr>
        <w:jc w:val="center"/>
        <w:rPr>
          <w:rFonts w:hint="eastAsia" w:ascii="宋体" w:hAnsi="宋体"/>
          <w:sz w:val="44"/>
          <w:szCs w:val="44"/>
        </w:rPr>
      </w:pPr>
    </w:p>
    <w:p w14:paraId="1389DB6C">
      <w:pPr>
        <w:jc w:val="center"/>
        <w:rPr>
          <w:rFonts w:hint="eastAsia" w:ascii="宋体" w:hAnsi="宋体"/>
          <w:sz w:val="44"/>
          <w:szCs w:val="44"/>
        </w:rPr>
      </w:pPr>
    </w:p>
    <w:p w14:paraId="2AB36CC5">
      <w:pPr>
        <w:jc w:val="center"/>
        <w:rPr>
          <w:rFonts w:hint="eastAsia" w:ascii="宋体" w:hAnsi="宋体"/>
          <w:sz w:val="44"/>
          <w:szCs w:val="44"/>
        </w:rPr>
      </w:pPr>
    </w:p>
    <w:p w14:paraId="406078D4">
      <w:pPr>
        <w:jc w:val="center"/>
        <w:rPr>
          <w:rFonts w:hint="eastAsia" w:ascii="宋体" w:hAnsi="宋体"/>
          <w:sz w:val="44"/>
          <w:szCs w:val="44"/>
        </w:rPr>
      </w:pPr>
    </w:p>
    <w:p w14:paraId="50082223">
      <w:pPr>
        <w:jc w:val="center"/>
        <w:rPr>
          <w:rFonts w:hint="eastAsia" w:ascii="宋体" w:hAnsi="宋体"/>
          <w:sz w:val="44"/>
          <w:szCs w:val="44"/>
        </w:rPr>
      </w:pPr>
    </w:p>
    <w:p w14:paraId="63127506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</w:rPr>
      </w:pPr>
      <w:r>
        <w:rPr>
          <w:color w:val="000000"/>
        </w:rPr>
        <w:t>名称：  六路流量计控制系统</w:t>
      </w:r>
    </w:p>
    <w:p w14:paraId="56205EFD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color w:val="000000"/>
        </w:rPr>
        <w:t>时间：  2026.09.10   V0.1</w:t>
      </w:r>
    </w:p>
    <w:p w14:paraId="32E8FAC2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color w:val="000000"/>
        </w:rPr>
        <w:t>编写人：________________</w:t>
      </w:r>
    </w:p>
    <w:p w14:paraId="2EE8BF11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color w:val="000000"/>
        </w:rPr>
        <w:t>审核人：________________</w:t>
      </w:r>
    </w:p>
    <w:p w14:paraId="31F6B9CE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color w:val="000000"/>
        </w:rPr>
        <w:t>校对人：________________</w:t>
      </w:r>
    </w:p>
    <w:p w14:paraId="6142EA60">
      <w:pPr>
        <w:spacing w:after="200"/>
        <w:ind w:firstLine="1920" w:firstLineChars="800"/>
        <w:jc w:val="left"/>
        <w:rPr>
          <w:rFonts w:hint="eastAsia" w:ascii="微软雅黑" w:hAnsi="微软雅黑" w:eastAsia="微软雅黑" w:cs="Calibri"/>
          <w:kern w:val="0"/>
          <w:szCs w:val="24"/>
        </w:rPr>
      </w:pPr>
      <w:r>
        <w:rPr>
          <w:rFonts w:hint="eastAsia" w:ascii="微软雅黑" w:hAnsi="微软雅黑" w:eastAsia="微软雅黑" w:cs="Calibri"/>
          <w:kern w:val="0"/>
          <w:szCs w:val="24"/>
          <w:u w:val="single"/>
        </w:rPr>
        <w:br w:type="page"/>
      </w:r>
    </w:p>
    <w:tbl>
      <w:tblPr>
        <w:tblStyle w:val="23"/>
        <w:tblW w:w="907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2078"/>
        <w:gridCol w:w="2078"/>
        <w:gridCol w:w="2311"/>
      </w:tblGrid>
      <w:tr w14:paraId="5DD2A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3" w:type="dxa"/>
            <w:gridSpan w:val="4"/>
            <w:vAlign w:val="center"/>
          </w:tcPr>
          <w:p w14:paraId="5F265D3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修改记录</w:t>
            </w:r>
          </w:p>
        </w:tc>
      </w:tr>
      <w:tr w14:paraId="0EDA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6A43F0E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1613EFB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制定/修改人</w:t>
            </w:r>
          </w:p>
        </w:tc>
        <w:tc>
          <w:tcPr>
            <w:tcW w:w="2078" w:type="dxa"/>
            <w:vAlign w:val="center"/>
          </w:tcPr>
          <w:p w14:paraId="15DF8A5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3BCBA73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修改内容</w:t>
            </w:r>
          </w:p>
        </w:tc>
      </w:tr>
      <w:tr w14:paraId="1594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9260752">
            <w:pPr>
              <w:jc w:val="center"/>
            </w:pPr>
            <w:r>
              <w:rPr>
                <w:color w:val="000000"/>
                <w:sz w:val="22"/>
              </w:rPr>
              <w:t>V0.1</w:t>
            </w:r>
          </w:p>
        </w:tc>
        <w:tc>
          <w:tcPr>
            <w:tcW w:w="2078" w:type="dxa"/>
            <w:vAlign w:val="center"/>
          </w:tcPr>
          <w:p w14:paraId="42F3CC99">
            <w:pPr>
              <w:jc w:val="center"/>
            </w:pPr>
            <w:r>
              <w:rPr>
                <w:color w:val="000000"/>
                <w:sz w:val="22"/>
              </w:rPr>
              <w:t>待填写</w:t>
            </w:r>
          </w:p>
        </w:tc>
        <w:tc>
          <w:tcPr>
            <w:tcW w:w="2078" w:type="dxa"/>
            <w:vAlign w:val="center"/>
          </w:tcPr>
          <w:p w14:paraId="1DFCF482">
            <w:pPr>
              <w:jc w:val="center"/>
            </w:pPr>
            <w:r>
              <w:rPr>
                <w:color w:val="000000"/>
                <w:sz w:val="22"/>
              </w:rPr>
              <w:t>2026.09.10</w:t>
            </w:r>
          </w:p>
        </w:tc>
        <w:tc>
          <w:tcPr>
            <w:tcW w:w="2311" w:type="dxa"/>
            <w:vAlign w:val="center"/>
          </w:tcPr>
          <w:p w14:paraId="0C3CDA6C">
            <w:pPr>
              <w:jc w:val="center"/>
            </w:pPr>
            <w:r>
              <w:rPr>
                <w:color w:val="000000"/>
                <w:sz w:val="22"/>
              </w:rPr>
              <w:t>建立六路 MFC 控制初步设计</w:t>
            </w:r>
          </w:p>
        </w:tc>
      </w:tr>
      <w:tr w14:paraId="24199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6FC57AF0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60A3E0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1F966BB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67E700E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5C1A8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048DE57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2A8742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37D9E7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534227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72BD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00DF080B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7444466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100AB96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71C3771D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70BF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6ABD4F4E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B98415E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B10B1C8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6A80F83B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21D4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0C174BE2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4C6E6E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D9528E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E4ED87F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6AA85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684AD77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A39A02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FC154BA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6DC40A2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2943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5642129D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3FD0EF5F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D7BDD49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3E5283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</w:tbl>
    <w:p w14:paraId="2216A9B7">
      <w:pPr>
        <w:spacing w:before="156" w:beforeLines="50" w:after="156" w:afterLines="50" w:line="20" w:lineRule="exact"/>
        <w:rPr>
          <w:rFonts w:hint="eastAsia" w:ascii="宋体" w:hAnsi="宋体" w:cs="Arial Unicode MS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5A7994C4">
      <w:pPr>
        <w:spacing w:before="312" w:beforeLines="100" w:after="312" w:afterLines="100"/>
        <w:jc w:val="center"/>
      </w:pPr>
      <w:r>
        <w:rPr>
          <w:rFonts w:ascii="宋体" w:hAnsi="宋体"/>
          <w:b/>
          <w:sz w:val="44"/>
        </w:rPr>
        <w:t>目  录</w:t>
      </w:r>
    </w:p>
    <w:p w14:paraId="486180D2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r>
        <w:fldChar w:fldCharType="begin"/>
      </w:r>
      <w:r>
        <w:instrText xml:space="preserve"> HYPERLINK \l "_Toc239940977" </w:instrText>
      </w:r>
      <w:r>
        <w:fldChar w:fldCharType="separate"/>
      </w:r>
      <w:r>
        <w:rPr>
          <w:rStyle w:val="29"/>
        </w:rPr>
        <w:t>第一章 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_Toc239940977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F97D041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"_Toc239940978" </w:instrText>
      </w:r>
      <w:r>
        <w:fldChar w:fldCharType="separate"/>
      </w:r>
      <w:r>
        <w:rPr>
          <w:rStyle w:val="29"/>
        </w:rPr>
        <w:t>1.1 编写目的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E1D30E4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"_Toc239940979" </w:instrText>
      </w:r>
      <w:r>
        <w:fldChar w:fldCharType="separate"/>
      </w:r>
      <w:r>
        <w:rPr>
          <w:rStyle w:val="29"/>
        </w:rPr>
        <w:t>1.2 项目背景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0E98E85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"_Toc239940980" </w:instrText>
      </w:r>
      <w:r>
        <w:fldChar w:fldCharType="separate"/>
      </w:r>
      <w:r>
        <w:rPr>
          <w:rStyle w:val="29"/>
        </w:rPr>
        <w:t>1.3 阅读人员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B0D492D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"_Toc239940981" </w:instrText>
      </w:r>
      <w:r>
        <w:fldChar w:fldCharType="separate"/>
      </w:r>
      <w:r>
        <w:rPr>
          <w:rStyle w:val="29"/>
        </w:rPr>
        <w:t>1.4 术语定义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7BD1A6B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"_Toc239940982" </w:instrText>
      </w:r>
      <w:r>
        <w:fldChar w:fldCharType="separate"/>
      </w:r>
      <w:r>
        <w:rPr>
          <w:rStyle w:val="29"/>
        </w:rPr>
        <w:t>1.5 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CAB30E4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"_Toc239940983" </w:instrText>
      </w:r>
      <w:r>
        <w:fldChar w:fldCharType="separate"/>
      </w:r>
      <w:r>
        <w:rPr>
          <w:rStyle w:val="29"/>
        </w:rPr>
        <w:t>第二章 软件需求概述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7F999B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"_Toc239940984" </w:instrText>
      </w:r>
      <w:r>
        <w:fldChar w:fldCharType="separate"/>
      </w:r>
      <w:r>
        <w:rPr>
          <w:rStyle w:val="29"/>
        </w:rPr>
        <w:t>2.1 项目简介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034B60A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"_Toc239940985" </w:instrText>
      </w:r>
      <w:r>
        <w:fldChar w:fldCharType="separate"/>
      </w:r>
      <w:r>
        <w:rPr>
          <w:rStyle w:val="29"/>
        </w:rPr>
        <w:t>2.2 设计目标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38523B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"_Toc239940986" </w:instrText>
      </w:r>
      <w:r>
        <w:fldChar w:fldCharType="separate"/>
      </w:r>
      <w:r>
        <w:rPr>
          <w:rStyle w:val="29"/>
        </w:rPr>
        <w:t>2.3 设计平台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8B78EE7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"_Toc239940987" </w:instrText>
      </w:r>
      <w:r>
        <w:fldChar w:fldCharType="separate"/>
      </w:r>
      <w:r>
        <w:rPr>
          <w:rStyle w:val="29"/>
        </w:rPr>
        <w:t>第三章 系统架构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4F21C3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"_Toc239940988" </w:instrText>
      </w:r>
      <w:r>
        <w:fldChar w:fldCharType="separate"/>
      </w:r>
      <w:r>
        <w:rPr>
          <w:rStyle w:val="29"/>
        </w:rPr>
        <w:t>3.1 硬件功能图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316430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"_Toc239940989" </w:instrText>
      </w:r>
      <w:r>
        <w:fldChar w:fldCharType="separate"/>
      </w:r>
      <w:r>
        <w:rPr>
          <w:rStyle w:val="29"/>
        </w:rPr>
        <w:t>3.2 软件功能划分图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DD6917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"_Toc239940990" </w:instrText>
      </w:r>
      <w:r>
        <w:fldChar w:fldCharType="separate"/>
      </w:r>
      <w:r>
        <w:rPr>
          <w:rStyle w:val="29"/>
        </w:rPr>
        <w:t>3.3 软件架构图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5158785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"_Toc239940991" </w:instrText>
      </w:r>
      <w:r>
        <w:fldChar w:fldCharType="separate"/>
      </w:r>
      <w:r>
        <w:rPr>
          <w:rStyle w:val="29"/>
        </w:rPr>
        <w:t>3.4 软件运行流程图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5FCF64D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"_Toc239940992" </w:instrText>
      </w:r>
      <w:r>
        <w:fldChar w:fldCharType="separate"/>
      </w:r>
      <w:r>
        <w:rPr>
          <w:rStyle w:val="29"/>
        </w:rPr>
        <w:t>第四章 模块功能详细设计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819A8C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"_Toc239940993" </w:instrText>
      </w:r>
      <w:r>
        <w:fldChar w:fldCharType="separate"/>
      </w:r>
      <w:r>
        <w:rPr>
          <w:rStyle w:val="29"/>
        </w:rPr>
        <w:t>4.1 MFC 通讯硬件模块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12DE01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"_Toc239940994" </w:instrText>
      </w:r>
      <w:r>
        <w:fldChar w:fldCharType="separate"/>
      </w:r>
      <w:r>
        <w:rPr>
          <w:rStyle w:val="29"/>
        </w:rPr>
        <w:t>4.2 EX201 通讯协议模块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DDB8A7A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"_Toc239940995" </w:instrText>
      </w:r>
      <w:r>
        <w:fldChar w:fldCharType="separate"/>
      </w:r>
      <w:r>
        <w:rPr>
          <w:rStyle w:val="29"/>
        </w:rPr>
        <w:t>4.3 六路流量控制与状态管理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A5C5A6A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"_Toc239940996" </w:instrText>
      </w:r>
      <w:r>
        <w:fldChar w:fldCharType="separate"/>
      </w:r>
      <w:r>
        <w:rPr>
          <w:rStyle w:val="29"/>
        </w:rPr>
        <w:t>4.4 电磁阀与气路联锁模块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05642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"_Toc239940997" </w:instrText>
      </w:r>
      <w:r>
        <w:fldChar w:fldCharType="separate"/>
      </w:r>
      <w:r>
        <w:rPr>
          <w:rStyle w:val="29"/>
        </w:rPr>
        <w:t>4.5 上位机与人机交互模块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E02F9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"_Toc239940998" </w:instrText>
      </w:r>
      <w:r>
        <w:fldChar w:fldCharType="separate"/>
      </w:r>
      <w:r>
        <w:rPr>
          <w:rStyle w:val="29"/>
        </w:rPr>
        <w:t>4.6 参数存储与运行调度模块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C8EA49F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"_Toc239940999" </w:instrText>
      </w:r>
      <w:r>
        <w:fldChar w:fldCharType="separate"/>
      </w:r>
      <w:r>
        <w:rPr>
          <w:rStyle w:val="29"/>
        </w:rPr>
        <w:t>4.7 报警与异常处理模块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_Toc239940999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4E4FC3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"_Toc239941000" </w:instrText>
      </w:r>
      <w:r>
        <w:fldChar w:fldCharType="separate"/>
      </w:r>
      <w:r>
        <w:rPr>
          <w:rStyle w:val="29"/>
        </w:rPr>
        <w:t>4.8 联调与测试计划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_Toc239941000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56CA2D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"_Toc239941001" </w:instrText>
      </w:r>
      <w:r>
        <w:fldChar w:fldCharType="separate"/>
      </w:r>
      <w:r>
        <w:rPr>
          <w:rStyle w:val="29"/>
        </w:rPr>
        <w:t>4.9 待确认事项与下一步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_Toc239941001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95C0ACD">
      <w:r>
        <w:fldChar w:fldCharType="end"/>
      </w:r>
    </w:p>
    <w:p w14:paraId="0B174DCA">
      <w:pPr>
        <w:spacing w:line="20" w:lineRule="exact"/>
        <w:ind w:right="1120"/>
        <w:rPr>
          <w:rFonts w:hint="eastAsia" w:ascii="宋体" w:hAnsi="宋体" w:cs="Arial Unicode MS"/>
          <w:sz w:val="28"/>
          <w:szCs w:val="28"/>
        </w:rPr>
        <w:sectPr>
          <w:headerReference r:id="rId12" w:type="first"/>
          <w:footerReference r:id="rId14" w:type="first"/>
          <w:headerReference r:id="rId11" w:type="default"/>
          <w:footerReference r:id="rId13" w:type="default"/>
          <w:pgSz w:w="11906" w:h="16838"/>
          <w:pgMar w:top="1440" w:right="1800" w:bottom="1440" w:left="1800" w:header="851" w:footer="992" w:gutter="0"/>
          <w:pgNumType w:start="0"/>
          <w:cols w:space="720" w:num="1"/>
          <w:docGrid w:type="lines" w:linePitch="312" w:charSpace="0"/>
        </w:sectPr>
      </w:pPr>
    </w:p>
    <w:p w14:paraId="181006C4">
      <w:pPr>
        <w:pStyle w:val="2"/>
        <w:jc w:val="center"/>
      </w:pPr>
      <w:bookmarkStart w:id="0" w:name="_Toc239940977"/>
      <w:r>
        <w:t>引言</w:t>
      </w:r>
      <w:bookmarkEnd w:id="0"/>
    </w:p>
    <w:p w14:paraId="39E05283">
      <w:pPr>
        <w:pStyle w:val="3"/>
      </w:pPr>
      <w:bookmarkStart w:id="1" w:name="_Toc239940978"/>
      <w:r>
        <w:t>编写目的</w:t>
      </w:r>
      <w:bookmarkEnd w:id="1"/>
    </w:p>
    <w:p w14:paraId="6DCA461A">
      <w:pPr>
        <w:widowControl/>
        <w:spacing w:after="60"/>
        <w:ind w:firstLine="420"/>
      </w:pPr>
      <w:r>
        <w:rPr>
          <w:color w:val="000000"/>
        </w:rPr>
        <w:t>本文定义基于 R7FA4M1AB3CFM 的六路质量流量计控制系统初步软件方案，用于硬件接口核对、固件开发和联调。控制器作为 RS485 主站，通过 RJ45 线缆向六台 EX-201S 系列质量流量控制器下发流量设定并读取运行参数，同时管理气路图中的九个外部电磁阀。</w:t>
      </w:r>
    </w:p>
    <w:p w14:paraId="03F03D79">
      <w:pPr>
        <w:widowControl/>
        <w:spacing w:after="60"/>
        <w:ind w:firstLine="420"/>
      </w:pPr>
      <w:r>
        <w:rPr>
          <w:color w:val="000000"/>
        </w:rPr>
        <w:t>初步方案采用一条 MFC 下行总线、六个独立通道对象和统一阀门联锁。设备内部完成流量闭环，MCU 负责设定、监测与过程协调。下文以“已知资料”“设计建议”和“待确认”区分依据与拟定方案；待确认项在本章引用资料及第 4.9 节中形成闭环。</w:t>
      </w:r>
    </w:p>
    <w:p w14:paraId="3272FF55">
      <w:pPr>
        <w:pStyle w:val="3"/>
      </w:pPr>
      <w:bookmarkStart w:id="2" w:name="_Toc239940979"/>
      <w:r>
        <w:t>项目背景</w:t>
      </w:r>
      <w:bookmarkEnd w:id="2"/>
    </w:p>
    <w:p w14:paraId="00BA3873">
      <w:pPr>
        <w:widowControl/>
        <w:spacing w:after="60"/>
        <w:ind w:firstLine="420"/>
      </w:pPr>
      <w:r>
        <w:rPr>
          <w:color w:val="000000"/>
        </w:rPr>
        <w:t>气路由六条支路经 MFC 汇入混气管，其中五路标注 H2、CH4、N2、O2、CO2，第六路预留。图中 V1 至 V6 为支路阀，混气管后配置 V7、V8、V9，支持正常输出和排空、校准或测试气体通路。[S3]</w:t>
      </w:r>
    </w:p>
    <w:p w14:paraId="03143BB8">
      <w:pPr>
        <w:widowControl/>
        <w:spacing w:after="60"/>
        <w:ind w:firstLine="420"/>
      </w:pPr>
      <w:r>
        <w:rPr>
          <w:color w:val="000000"/>
        </w:rPr>
        <w:t>本项目允许经工艺许可的多路流量同时参与控制。气路组合、压力边界和可运行配方应由工艺确认，尤其应明确 H2、CH4 与 O2 共用混气管时的许可条件。软件按已批准的通道组合执行，不自动假定任意气体组合均可运行。</w:t>
      </w:r>
    </w:p>
    <w:p w14:paraId="3A43AE34">
      <w:pPr>
        <w:pStyle w:val="3"/>
      </w:pPr>
      <w:bookmarkStart w:id="3" w:name="_Toc239940980"/>
      <w:r>
        <w:t>阅读人员</w:t>
      </w:r>
      <w:bookmarkEnd w:id="3"/>
    </w:p>
    <w:p w14:paraId="517ED43F">
      <w:pPr>
        <w:widowControl/>
        <w:spacing w:after="60"/>
        <w:ind w:firstLine="420"/>
      </w:pPr>
      <w:r>
        <w:rPr>
          <w:color w:val="000000"/>
        </w:rPr>
        <w:t>适用人员包括嵌入式软件开发、硬件设计、气路与工艺设计、上位机开发、测试及现场调试人员。硬件负责输出极性和断电状态，软件负责时序和异常处理，工艺负责气体组合及实际流量验收条件。</w:t>
      </w:r>
    </w:p>
    <w:p w14:paraId="09A14DD5">
      <w:pPr>
        <w:pStyle w:val="3"/>
      </w:pPr>
      <w:bookmarkStart w:id="4" w:name="_Toc239940981"/>
      <w:r>
        <w:t>术语定义</w:t>
      </w:r>
      <w:bookmarkEnd w:id="4"/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2541"/>
        <w:gridCol w:w="7925"/>
      </w:tblGrid>
      <w:tr w14:paraId="7F8F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2541" w:type="dxa"/>
            <w:vAlign w:val="center"/>
          </w:tcPr>
          <w:p w14:paraId="0C3388CC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术语</w:t>
            </w:r>
          </w:p>
        </w:tc>
        <w:tc>
          <w:tcPr>
            <w:tcW w:w="7925" w:type="dxa"/>
            <w:vAlign w:val="center"/>
          </w:tcPr>
          <w:p w14:paraId="3013B83A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说明</w:t>
            </w:r>
          </w:p>
        </w:tc>
      </w:tr>
      <w:tr w14:paraId="0636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541" w:type="dxa"/>
            <w:vAlign w:val="center"/>
          </w:tcPr>
          <w:p w14:paraId="3868521F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MFC</w:t>
            </w:r>
          </w:p>
        </w:tc>
        <w:tc>
          <w:tcPr>
            <w:tcW w:w="7925" w:type="dxa"/>
            <w:vAlign w:val="center"/>
          </w:tcPr>
          <w:p w14:paraId="15234C6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质量流量控制器；包含传感器、内部比例阀及内部流量闭环。</w:t>
            </w:r>
          </w:p>
        </w:tc>
      </w:tr>
      <w:tr w14:paraId="58717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541" w:type="dxa"/>
            <w:vAlign w:val="center"/>
          </w:tcPr>
          <w:p w14:paraId="7C01577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RJ45 与 RS485</w:t>
            </w:r>
          </w:p>
        </w:tc>
        <w:tc>
          <w:tcPr>
            <w:tcW w:w="7925" w:type="dxa"/>
            <w:vAlign w:val="center"/>
          </w:tcPr>
          <w:p w14:paraId="5A85C20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RJ45 是连接器形式；本设备使用 RS485 电气层和厂家 ASCII 通讯协议。</w:t>
            </w:r>
          </w:p>
        </w:tc>
      </w:tr>
      <w:tr w14:paraId="1715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541" w:type="dxa"/>
            <w:vAlign w:val="center"/>
          </w:tcPr>
          <w:p w14:paraId="13F539F6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F.S. 与 S.P.</w:t>
            </w:r>
          </w:p>
        </w:tc>
        <w:tc>
          <w:tcPr>
            <w:tcW w:w="7925" w:type="dxa"/>
            <w:vAlign w:val="center"/>
          </w:tcPr>
          <w:p w14:paraId="41BD529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F.S. 为满量程，S.P. 为设定值。流量尾数需结合小数位和单位解释。</w:t>
            </w:r>
          </w:p>
        </w:tc>
      </w:tr>
      <w:tr w14:paraId="40C3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541" w:type="dxa"/>
            <w:vAlign w:val="center"/>
          </w:tcPr>
          <w:p w14:paraId="3EEB2CE1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内部阀与外部阀</w:t>
            </w:r>
          </w:p>
        </w:tc>
        <w:tc>
          <w:tcPr>
            <w:tcW w:w="7925" w:type="dxa"/>
            <w:vAlign w:val="center"/>
          </w:tcPr>
          <w:p w14:paraId="5F259B4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内部阀通过 MFC 指令管理；外部 V1 至 V9 由主板驱动，两者分别记录。</w:t>
            </w:r>
          </w:p>
        </w:tc>
      </w:tr>
      <w:tr w14:paraId="036D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541" w:type="dxa"/>
            <w:vAlign w:val="center"/>
          </w:tcPr>
          <w:p w14:paraId="1D98AC12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有效数据</w:t>
            </w:r>
          </w:p>
        </w:tc>
        <w:tc>
          <w:tcPr>
            <w:tcW w:w="7925" w:type="dxa"/>
            <w:vAlign w:val="center"/>
          </w:tcPr>
          <w:p w14:paraId="050DF49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通过帧校验、范围检查且未超出有效期的数据，包含采样时间和质量标志。</w:t>
            </w:r>
          </w:p>
        </w:tc>
      </w:tr>
    </w:tbl>
    <w:p w14:paraId="16CA8AE7">
      <w:pPr>
        <w:spacing w:line="60" w:lineRule="exact"/>
      </w:pPr>
    </w:p>
    <w:p w14:paraId="733F77F6">
      <w:pPr>
        <w:pStyle w:val="3"/>
      </w:pPr>
      <w:bookmarkStart w:id="5" w:name="_Toc239940982"/>
      <w:r>
        <w:t>参考资料</w:t>
      </w:r>
      <w:bookmarkEnd w:id="5"/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822"/>
        <w:gridCol w:w="9644"/>
      </w:tblGrid>
      <w:tr w14:paraId="4A02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822" w:type="dxa"/>
            <w:vAlign w:val="center"/>
          </w:tcPr>
          <w:p w14:paraId="64EA1379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编号</w:t>
            </w:r>
          </w:p>
        </w:tc>
        <w:tc>
          <w:tcPr>
            <w:tcW w:w="9644" w:type="dxa"/>
            <w:vAlign w:val="center"/>
          </w:tcPr>
          <w:p w14:paraId="02F9F396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资料及适用内容</w:t>
            </w:r>
          </w:p>
        </w:tc>
      </w:tr>
      <w:tr w14:paraId="48457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5848E28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S1</w:t>
            </w:r>
          </w:p>
        </w:tc>
        <w:tc>
          <w:tcPr>
            <w:tcW w:w="9644" w:type="dxa"/>
            <w:vAlign w:val="center"/>
          </w:tcPr>
          <w:p w14:paraId="7F284E0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EX201 说明书485通讯.pdf，MJ400320A1。使用印刷页 3 至 17：数字模式、帧格式、命令及流量换算。</w:t>
            </w:r>
          </w:p>
        </w:tc>
      </w:tr>
      <w:tr w14:paraId="4493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2BD4437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S2</w:t>
            </w:r>
          </w:p>
        </w:tc>
        <w:tc>
          <w:tcPr>
            <w:tcW w:w="9644" w:type="dxa"/>
            <w:vAlign w:val="center"/>
          </w:tcPr>
          <w:p w14:paraId="092DFEC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EX201 操作说明书.pdf，MJ400318A1。印刷页 7、10 至 14：供电、引脚、控制优先级、预热与性能。</w:t>
            </w:r>
          </w:p>
        </w:tc>
      </w:tr>
      <w:tr w14:paraId="260FB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5BFE761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S3</w:t>
            </w:r>
          </w:p>
        </w:tc>
        <w:tc>
          <w:tcPr>
            <w:tcW w:w="9644" w:type="dxa"/>
            <w:vAlign w:val="center"/>
          </w:tcPr>
          <w:p w14:paraId="4C063AE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无标题.png。六路气体、九个外部阀、手动优先以及正常和排空通路要求。</w:t>
            </w:r>
          </w:p>
        </w:tc>
      </w:tr>
      <w:tr w14:paraId="12BC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44893A25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S4</w:t>
            </w:r>
          </w:p>
        </w:tc>
        <w:tc>
          <w:tcPr>
            <w:tcW w:w="9644" w:type="dxa"/>
            <w:vAlign w:val="center"/>
          </w:tcPr>
          <w:p w14:paraId="5F8880A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CVD01(Q2)-GS260806CN-V2.0B2.0.pdf，2026-08-06。PDF 第 1 页外部接口，第 2 页 MCU，第 3 页 MFC 与阀门电路。</w:t>
            </w:r>
          </w:p>
        </w:tc>
      </w:tr>
      <w:tr w14:paraId="1044D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572410B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S5</w:t>
            </w:r>
          </w:p>
        </w:tc>
        <w:tc>
          <w:tcPr>
            <w:tcW w:w="9644" w:type="dxa"/>
            <w:vAlign w:val="center"/>
          </w:tcPr>
          <w:p w14:paraId="1DA2F95B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Renesas R7FA4M1AB3CFM#BA0 官方器件页；核对 MCU 封装、存储器、主频和通讯外设，访问日期 2026-09-10。</w:t>
            </w:r>
          </w:p>
        </w:tc>
      </w:tr>
    </w:tbl>
    <w:p w14:paraId="3B29EDF7">
      <w:pPr>
        <w:spacing w:line="60" w:lineRule="exact"/>
      </w:pPr>
    </w:p>
    <w:p w14:paraId="529B0195">
      <w:pPr>
        <w:widowControl/>
        <w:spacing w:after="60"/>
        <w:ind w:firstLine="420"/>
      </w:pPr>
      <w:r>
        <w:rPr>
          <w:color w:val="000000"/>
          <w:sz w:val="22"/>
        </w:rPr>
        <w:t>S5 地址：https://www.renesas.com/en/products/ra4m1/part-details/r7fa4m1ab3cfm-ba0</w:t>
      </w:r>
    </w:p>
    <w:p w14:paraId="1F989DB4">
      <w:pPr>
        <w:widowControl/>
        <w:spacing w:after="60"/>
        <w:ind w:firstLine="420"/>
      </w:pPr>
      <w:r>
        <w:rPr>
          <w:color w:val="000000"/>
        </w:rPr>
        <w:t>S1 与 S2 的页码采用手册页脚编号；对应 PDF 页序比印刷页码大 1。S4 按 PDF 页序引用。</w:t>
      </w:r>
    </w:p>
    <w:p w14:paraId="3CE6BD6F">
      <w:pPr>
        <w:pStyle w:val="2"/>
        <w:pageBreakBefore/>
        <w:jc w:val="center"/>
      </w:pPr>
      <w:bookmarkStart w:id="6" w:name="_Toc239940983"/>
      <w:r>
        <w:t>软件需求概述</w:t>
      </w:r>
      <w:bookmarkEnd w:id="6"/>
    </w:p>
    <w:p w14:paraId="7AFE2A41">
      <w:pPr>
        <w:pStyle w:val="3"/>
      </w:pPr>
      <w:bookmarkStart w:id="7" w:name="_Toc239940984"/>
      <w:r>
        <w:t>项目简介</w:t>
      </w:r>
      <w:bookmarkEnd w:id="7"/>
    </w:p>
    <w:p w14:paraId="03A80524">
      <w:pPr>
        <w:widowControl/>
        <w:spacing w:after="60"/>
        <w:ind w:firstLine="420"/>
      </w:pPr>
      <w:r>
        <w:rPr>
          <w:color w:val="000000"/>
        </w:rPr>
        <w:t>六台 MFC 使用独立地址接入同一条半双工总线，MCU 逐台访问。软件维持设定流量、实际流量、气体类型、满量程、内部阀状态、设备报警和通讯状态。外部 V1 至 V6 与对应 MFC 成对管理，V7 至 V9 由整机通路状态统一管理。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266"/>
        <w:gridCol w:w="1350"/>
        <w:gridCol w:w="3376"/>
        <w:gridCol w:w="2363"/>
        <w:gridCol w:w="2111"/>
      </w:tblGrid>
      <w:tr w14:paraId="2E37A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266" w:type="dxa"/>
            <w:vAlign w:val="center"/>
          </w:tcPr>
          <w:p w14:paraId="5FD9DD90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通道</w:t>
            </w:r>
          </w:p>
        </w:tc>
        <w:tc>
          <w:tcPr>
            <w:tcW w:w="1350" w:type="dxa"/>
            <w:vAlign w:val="center"/>
          </w:tcPr>
          <w:p w14:paraId="4415D2F3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气体</w:t>
            </w:r>
          </w:p>
        </w:tc>
        <w:tc>
          <w:tcPr>
            <w:tcW w:w="3376" w:type="dxa"/>
            <w:vAlign w:val="center"/>
          </w:tcPr>
          <w:p w14:paraId="144A94D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图示流量标注</w:t>
            </w:r>
          </w:p>
        </w:tc>
        <w:tc>
          <w:tcPr>
            <w:tcW w:w="2363" w:type="dxa"/>
            <w:vAlign w:val="center"/>
          </w:tcPr>
          <w:p w14:paraId="0C3D9AEF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拟定通讯地址</w:t>
            </w:r>
          </w:p>
        </w:tc>
        <w:tc>
          <w:tcPr>
            <w:tcW w:w="2111" w:type="dxa"/>
            <w:vAlign w:val="center"/>
          </w:tcPr>
          <w:p w14:paraId="326D8297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外部支路阀</w:t>
            </w:r>
          </w:p>
        </w:tc>
      </w:tr>
      <w:tr w14:paraId="55F7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266" w:type="dxa"/>
            <w:vAlign w:val="center"/>
          </w:tcPr>
          <w:p w14:paraId="27AC1E6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CH1</w:t>
            </w:r>
          </w:p>
        </w:tc>
        <w:tc>
          <w:tcPr>
            <w:tcW w:w="1350" w:type="dxa"/>
            <w:vAlign w:val="center"/>
          </w:tcPr>
          <w:p w14:paraId="1117145C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H2</w:t>
            </w:r>
          </w:p>
        </w:tc>
        <w:tc>
          <w:tcPr>
            <w:tcW w:w="3376" w:type="dxa"/>
            <w:vAlign w:val="center"/>
          </w:tcPr>
          <w:p w14:paraId="3D74D71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100 mL/min</w:t>
            </w:r>
          </w:p>
        </w:tc>
        <w:tc>
          <w:tcPr>
            <w:tcW w:w="2363" w:type="dxa"/>
            <w:vAlign w:val="center"/>
          </w:tcPr>
          <w:p w14:paraId="466BE2F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001</w:t>
            </w:r>
          </w:p>
        </w:tc>
        <w:tc>
          <w:tcPr>
            <w:tcW w:w="2111" w:type="dxa"/>
            <w:vAlign w:val="center"/>
          </w:tcPr>
          <w:p w14:paraId="33EE3F1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V1</w:t>
            </w:r>
          </w:p>
        </w:tc>
      </w:tr>
      <w:tr w14:paraId="252F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266" w:type="dxa"/>
            <w:vAlign w:val="center"/>
          </w:tcPr>
          <w:p w14:paraId="0FFB59B2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CH2</w:t>
            </w:r>
          </w:p>
        </w:tc>
        <w:tc>
          <w:tcPr>
            <w:tcW w:w="1350" w:type="dxa"/>
            <w:vAlign w:val="center"/>
          </w:tcPr>
          <w:p w14:paraId="38ACCE3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CH4</w:t>
            </w:r>
          </w:p>
        </w:tc>
        <w:tc>
          <w:tcPr>
            <w:tcW w:w="3376" w:type="dxa"/>
            <w:vAlign w:val="center"/>
          </w:tcPr>
          <w:p w14:paraId="5870EC6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100 mL/min</w:t>
            </w:r>
          </w:p>
        </w:tc>
        <w:tc>
          <w:tcPr>
            <w:tcW w:w="2363" w:type="dxa"/>
            <w:vAlign w:val="center"/>
          </w:tcPr>
          <w:p w14:paraId="7F2AEB8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002</w:t>
            </w:r>
          </w:p>
        </w:tc>
        <w:tc>
          <w:tcPr>
            <w:tcW w:w="2111" w:type="dxa"/>
            <w:vAlign w:val="center"/>
          </w:tcPr>
          <w:p w14:paraId="2C99D93B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V2</w:t>
            </w:r>
          </w:p>
        </w:tc>
      </w:tr>
      <w:tr w14:paraId="1C10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266" w:type="dxa"/>
            <w:vAlign w:val="center"/>
          </w:tcPr>
          <w:p w14:paraId="2A9284D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CH3</w:t>
            </w:r>
          </w:p>
        </w:tc>
        <w:tc>
          <w:tcPr>
            <w:tcW w:w="1350" w:type="dxa"/>
            <w:vAlign w:val="center"/>
          </w:tcPr>
          <w:p w14:paraId="51FFD66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N2</w:t>
            </w:r>
          </w:p>
        </w:tc>
        <w:tc>
          <w:tcPr>
            <w:tcW w:w="3376" w:type="dxa"/>
            <w:vAlign w:val="center"/>
          </w:tcPr>
          <w:p w14:paraId="5ED0BEC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 mL/min</w:t>
            </w:r>
          </w:p>
        </w:tc>
        <w:tc>
          <w:tcPr>
            <w:tcW w:w="2363" w:type="dxa"/>
            <w:vAlign w:val="center"/>
          </w:tcPr>
          <w:p w14:paraId="09349DB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003</w:t>
            </w:r>
          </w:p>
        </w:tc>
        <w:tc>
          <w:tcPr>
            <w:tcW w:w="2111" w:type="dxa"/>
            <w:vAlign w:val="center"/>
          </w:tcPr>
          <w:p w14:paraId="4292FD6C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V3</w:t>
            </w:r>
          </w:p>
        </w:tc>
      </w:tr>
      <w:tr w14:paraId="1692B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266" w:type="dxa"/>
            <w:vAlign w:val="center"/>
          </w:tcPr>
          <w:p w14:paraId="529943C3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CH4</w:t>
            </w:r>
          </w:p>
        </w:tc>
        <w:tc>
          <w:tcPr>
            <w:tcW w:w="1350" w:type="dxa"/>
            <w:vAlign w:val="center"/>
          </w:tcPr>
          <w:p w14:paraId="5CC96A9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O2</w:t>
            </w:r>
          </w:p>
        </w:tc>
        <w:tc>
          <w:tcPr>
            <w:tcW w:w="3376" w:type="dxa"/>
            <w:vAlign w:val="center"/>
          </w:tcPr>
          <w:p w14:paraId="360A885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 mL/min</w:t>
            </w:r>
          </w:p>
        </w:tc>
        <w:tc>
          <w:tcPr>
            <w:tcW w:w="2363" w:type="dxa"/>
            <w:vAlign w:val="center"/>
          </w:tcPr>
          <w:p w14:paraId="4D1CF3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004</w:t>
            </w:r>
          </w:p>
        </w:tc>
        <w:tc>
          <w:tcPr>
            <w:tcW w:w="2111" w:type="dxa"/>
            <w:vAlign w:val="center"/>
          </w:tcPr>
          <w:p w14:paraId="6AA9FE6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V4</w:t>
            </w:r>
          </w:p>
        </w:tc>
      </w:tr>
      <w:tr w14:paraId="1247F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266" w:type="dxa"/>
            <w:vAlign w:val="center"/>
          </w:tcPr>
          <w:p w14:paraId="147DB5F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CH5</w:t>
            </w:r>
          </w:p>
        </w:tc>
        <w:tc>
          <w:tcPr>
            <w:tcW w:w="1350" w:type="dxa"/>
            <w:vAlign w:val="center"/>
          </w:tcPr>
          <w:p w14:paraId="35BABC1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CO2</w:t>
            </w:r>
          </w:p>
        </w:tc>
        <w:tc>
          <w:tcPr>
            <w:tcW w:w="3376" w:type="dxa"/>
            <w:vAlign w:val="center"/>
          </w:tcPr>
          <w:p w14:paraId="57CEA5C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50 mL/min</w:t>
            </w:r>
          </w:p>
        </w:tc>
        <w:tc>
          <w:tcPr>
            <w:tcW w:w="2363" w:type="dxa"/>
            <w:vAlign w:val="center"/>
          </w:tcPr>
          <w:p w14:paraId="2DB9D06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005</w:t>
            </w:r>
          </w:p>
        </w:tc>
        <w:tc>
          <w:tcPr>
            <w:tcW w:w="2111" w:type="dxa"/>
            <w:vAlign w:val="center"/>
          </w:tcPr>
          <w:p w14:paraId="4C7DD45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V5</w:t>
            </w:r>
          </w:p>
        </w:tc>
      </w:tr>
      <w:tr w14:paraId="67B6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266" w:type="dxa"/>
            <w:vAlign w:val="center"/>
          </w:tcPr>
          <w:p w14:paraId="6E32F34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CH6</w:t>
            </w:r>
          </w:p>
        </w:tc>
        <w:tc>
          <w:tcPr>
            <w:tcW w:w="1350" w:type="dxa"/>
            <w:vAlign w:val="center"/>
          </w:tcPr>
          <w:p w14:paraId="33ACE15C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备用</w:t>
            </w:r>
          </w:p>
        </w:tc>
        <w:tc>
          <w:tcPr>
            <w:tcW w:w="3376" w:type="dxa"/>
            <w:vAlign w:val="center"/>
          </w:tcPr>
          <w:p w14:paraId="0A4E612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待确认</w:t>
            </w:r>
          </w:p>
        </w:tc>
        <w:tc>
          <w:tcPr>
            <w:tcW w:w="2363" w:type="dxa"/>
            <w:vAlign w:val="center"/>
          </w:tcPr>
          <w:p w14:paraId="7BF23A7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006</w:t>
            </w:r>
          </w:p>
        </w:tc>
        <w:tc>
          <w:tcPr>
            <w:tcW w:w="2111" w:type="dxa"/>
            <w:vAlign w:val="center"/>
          </w:tcPr>
          <w:p w14:paraId="16B98F2C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V6</w:t>
            </w:r>
          </w:p>
        </w:tc>
      </w:tr>
    </w:tbl>
    <w:p w14:paraId="5478D2B2">
      <w:pPr>
        <w:spacing w:line="60" w:lineRule="exact"/>
      </w:pPr>
    </w:p>
    <w:p w14:paraId="3A37D3CD">
      <w:pPr>
        <w:widowControl/>
        <w:spacing w:after="60"/>
        <w:ind w:firstLine="420"/>
      </w:pPr>
      <w:r>
        <w:rPr>
          <w:color w:val="000000"/>
        </w:rPr>
        <w:t>以上流量来自气路图标注，尚不能认定为最终订货满量程或运行设定值。软件启动时读取 RMFS、RDPP、RFRU、RFRC，并与设备铭牌及通道配置核对；CH6 在气体、量程和用途确认前默认停用。[S1][S3]</w:t>
      </w:r>
    </w:p>
    <w:p w14:paraId="0AC530D9">
      <w:pPr>
        <w:pStyle w:val="3"/>
      </w:pPr>
      <w:bookmarkStart w:id="8" w:name="_Toc239940985"/>
      <w:r>
        <w:t>设计目标</w:t>
      </w:r>
      <w:bookmarkEnd w:id="8"/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868"/>
        <w:gridCol w:w="8598"/>
      </w:tblGrid>
      <w:tr w14:paraId="290E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868" w:type="dxa"/>
            <w:vAlign w:val="center"/>
          </w:tcPr>
          <w:p w14:paraId="49EFB259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功能项</w:t>
            </w:r>
          </w:p>
        </w:tc>
        <w:tc>
          <w:tcPr>
            <w:tcW w:w="8598" w:type="dxa"/>
            <w:vAlign w:val="center"/>
          </w:tcPr>
          <w:p w14:paraId="0B99DF0B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初步设计要求</w:t>
            </w:r>
          </w:p>
        </w:tc>
      </w:tr>
      <w:tr w14:paraId="2A0D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2A683851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参数读取</w:t>
            </w:r>
          </w:p>
        </w:tc>
        <w:tc>
          <w:tcPr>
            <w:tcW w:w="8598" w:type="dxa"/>
            <w:vAlign w:val="center"/>
          </w:tcPr>
          <w:p w14:paraId="7B453BA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读取六路实际流量、设定值、气体类型、量程、小数位、单位、流量基准温度、内部阀状态及设备报警。</w:t>
            </w:r>
          </w:p>
        </w:tc>
      </w:tr>
      <w:tr w14:paraId="78DD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6EE23CA8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流量控制</w:t>
            </w:r>
          </w:p>
        </w:tc>
        <w:tc>
          <w:tcPr>
            <w:tcW w:w="8598" w:type="dxa"/>
            <w:vAlign w:val="center"/>
          </w:tcPr>
          <w:p w14:paraId="783DE09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每路独立启停和设定；写入后回读确认；对超量程、未就绪、未获许可及低于可控范围的非零设定返回明确错误。</w:t>
            </w:r>
          </w:p>
        </w:tc>
      </w:tr>
      <w:tr w14:paraId="0FE1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66CA32C5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通路控制</w:t>
            </w:r>
          </w:p>
        </w:tc>
        <w:tc>
          <w:tcPr>
            <w:tcW w:w="8598" w:type="dxa"/>
            <w:vAlign w:val="center"/>
          </w:tcPr>
          <w:p w14:paraId="760A9AC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统一管理 V1 至 V9。正常模式中 V7 与 V9 按资料要求开启，V8 关闭；校准或排空通路按第 4.4 节执行。</w:t>
            </w:r>
          </w:p>
        </w:tc>
      </w:tr>
      <w:tr w14:paraId="3B87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47F42E5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异常处理</w:t>
            </w:r>
          </w:p>
        </w:tc>
        <w:tc>
          <w:tcPr>
            <w:tcW w:w="8598" w:type="dxa"/>
            <w:vAlign w:val="center"/>
          </w:tcPr>
          <w:p w14:paraId="7DA1996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对超时、校验错误、设备 NG、流量持续偏差、设备报警和手动关闭分别处理，禁止把无效流量当作零流量。</w:t>
            </w:r>
          </w:p>
        </w:tc>
      </w:tr>
      <w:tr w14:paraId="2A7C3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51FACD0F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恢复管理</w:t>
            </w:r>
          </w:p>
        </w:tc>
        <w:tc>
          <w:tcPr>
            <w:tcW w:w="8598" w:type="dxa"/>
            <w:vAlign w:val="center"/>
          </w:tcPr>
          <w:p w14:paraId="1D99A5D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复位后默认关断，不恢复上次运行；通讯恢复后先重建参数和状态，再等待新的启动请求。</w:t>
            </w:r>
          </w:p>
        </w:tc>
      </w:tr>
      <w:tr w14:paraId="34CC1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7969006F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可维护性</w:t>
            </w:r>
          </w:p>
        </w:tc>
        <w:tc>
          <w:tcPr>
            <w:tcW w:w="8598" w:type="dxa"/>
            <w:vAlign w:val="center"/>
          </w:tcPr>
          <w:p w14:paraId="4C42ABF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硬件驱动、协议、通道对象、阀门管理和业务状态机分层；硬件极性、延迟和阈值可配置、可追溯。</w:t>
            </w:r>
          </w:p>
        </w:tc>
      </w:tr>
    </w:tbl>
    <w:p w14:paraId="1487D1F8">
      <w:pPr>
        <w:spacing w:line="60" w:lineRule="exact"/>
      </w:pPr>
    </w:p>
    <w:p w14:paraId="398EC3AD">
      <w:pPr>
        <w:widowControl/>
        <w:spacing w:after="60"/>
        <w:ind w:firstLine="420"/>
      </w:pPr>
      <w:r>
        <w:rPr>
          <w:color w:val="000000"/>
        </w:rPr>
        <w:t>建议联调目标：六路瞬时流量完整刷新周期不大于 1 s，阀状态及报警刷新周期不大于 2 s；这些是软件调度初值，需在 9600 bps 实际响应时间下验证。MFC 手册给出的典型响应约 1 s 属于仪表动态特性，不等同于 MCU 指令完成时间或系统实际混气稳定时间。[S2]</w:t>
      </w:r>
    </w:p>
    <w:p w14:paraId="34F5A09C">
      <w:pPr>
        <w:pStyle w:val="3"/>
      </w:pPr>
      <w:bookmarkStart w:id="9" w:name="_Toc239940986"/>
      <w:r>
        <w:t>设计平台</w:t>
      </w:r>
      <w:bookmarkEnd w:id="9"/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868"/>
        <w:gridCol w:w="8598"/>
      </w:tblGrid>
      <w:tr w14:paraId="7ADB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868" w:type="dxa"/>
            <w:vAlign w:val="center"/>
          </w:tcPr>
          <w:p w14:paraId="4E1F5591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项目</w:t>
            </w:r>
          </w:p>
        </w:tc>
        <w:tc>
          <w:tcPr>
            <w:tcW w:w="8598" w:type="dxa"/>
            <w:vAlign w:val="center"/>
          </w:tcPr>
          <w:p w14:paraId="23226DC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已知参数或拟定选择</w:t>
            </w:r>
          </w:p>
        </w:tc>
      </w:tr>
      <w:tr w14:paraId="548D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3FCCAAC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MCU</w:t>
            </w:r>
          </w:p>
        </w:tc>
        <w:tc>
          <w:tcPr>
            <w:tcW w:w="8598" w:type="dxa"/>
            <w:vAlign w:val="center"/>
          </w:tcPr>
          <w:p w14:paraId="29C0627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R7FA4M1AB3CFM，RA4M1，64 引脚 LQFP，最高 48 MHz，256 KB Code Flash、32 KB SRAM、8 KB Data Flash。[S4][S5]</w:t>
            </w:r>
          </w:p>
        </w:tc>
      </w:tr>
      <w:tr w14:paraId="1DFAA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51AF98A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MFC 通讯</w:t>
            </w:r>
          </w:p>
        </w:tc>
        <w:tc>
          <w:tcPr>
            <w:tcW w:w="8598" w:type="dxa"/>
            <w:vAlign w:val="center"/>
          </w:tcPr>
          <w:p w14:paraId="587F12A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SCI2，P302/TXD2 与 P301/RXD2；9600 bps、8N1、三线半双工。六台设备共用该端口。[S1][S4]</w:t>
            </w:r>
          </w:p>
        </w:tc>
      </w:tr>
      <w:tr w14:paraId="6E28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342E1D14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外部通讯</w:t>
            </w:r>
          </w:p>
        </w:tc>
        <w:tc>
          <w:tcPr>
            <w:tcW w:w="8598" w:type="dxa"/>
            <w:vAlign w:val="center"/>
          </w:tcPr>
          <w:p w14:paraId="681E517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原理图预留 RS485 与 CAN 硬件选择，最终装配及上位机协议待确认；不占用 MFC 总线作为第二主站。[S4]</w:t>
            </w:r>
          </w:p>
        </w:tc>
      </w:tr>
      <w:tr w14:paraId="7403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1C32AF5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软件工具</w:t>
            </w:r>
          </w:p>
        </w:tc>
        <w:tc>
          <w:tcPr>
            <w:tcW w:w="8598" w:type="dxa"/>
            <w:vAlign w:val="center"/>
          </w:tcPr>
          <w:p w14:paraId="5F7DB13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建议 e² studio、Arm GCC 和 Renesas FSP；具体版本在建工程时锁定，并记录到发布信息。</w:t>
            </w:r>
          </w:p>
        </w:tc>
      </w:tr>
      <w:tr w14:paraId="1440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407B00A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调度与存储</w:t>
            </w:r>
          </w:p>
        </w:tc>
        <w:tc>
          <w:tcPr>
            <w:tcW w:w="8598" w:type="dxa"/>
            <w:vAlign w:val="center"/>
          </w:tcPr>
          <w:p w14:paraId="49D53AD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首版建议中断收发与非阻塞主循环，静态内存；使用片内 Data Flash 保存低频参数。HMI 型号和外部存储器待确定。</w:t>
            </w:r>
          </w:p>
        </w:tc>
      </w:tr>
    </w:tbl>
    <w:p w14:paraId="026DA517">
      <w:pPr>
        <w:spacing w:line="60" w:lineRule="exact"/>
      </w:pPr>
    </w:p>
    <w:p w14:paraId="436302AD">
      <w:pPr>
        <w:widowControl/>
        <w:spacing w:after="60"/>
        <w:ind w:firstLine="420"/>
      </w:pPr>
      <w:r>
        <w:rPr>
          <w:color w:val="000000"/>
        </w:rPr>
        <w:t>MCU 提供 4 路 SCI/UART，六台从站无需六路独立 UART。该器件没有片内以太网接口，本设计的 RJ45 直接用于 RS485；如将来要求以太网，应另行增加网络硬件与协议设计。[S5]</w:t>
      </w:r>
    </w:p>
    <w:p w14:paraId="486A7DD7">
      <w:pPr>
        <w:pStyle w:val="2"/>
        <w:pageBreakBefore/>
        <w:jc w:val="center"/>
      </w:pPr>
      <w:bookmarkStart w:id="10" w:name="_Toc239940987"/>
      <w:r>
        <w:t>系统架构</w:t>
      </w:r>
      <w:bookmarkEnd w:id="10"/>
    </w:p>
    <w:p w14:paraId="386A8D87">
      <w:pPr>
        <w:pStyle w:val="3"/>
      </w:pPr>
      <w:bookmarkStart w:id="11" w:name="_Toc239940988"/>
      <w:r>
        <w:t>硬件功能图</w:t>
      </w:r>
      <w:bookmarkEnd w:id="11"/>
    </w:p>
    <w:p w14:paraId="6AC44783">
      <w:pPr>
        <w:keepNext/>
        <w:jc w:val="center"/>
      </w:pPr>
      <w:r>
        <w:drawing>
          <wp:inline distT="0" distB="0" distL="0" distR="0">
            <wp:extent cx="6446520" cy="2922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2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53C5">
      <w:pPr>
        <w:spacing w:after="120"/>
        <w:jc w:val="center"/>
      </w:pPr>
      <w:r>
        <w:rPr>
          <w:color w:val="000000"/>
          <w:sz w:val="21"/>
        </w:rPr>
        <w:t>图 3-1 硬件功能框图</w:t>
      </w:r>
    </w:p>
    <w:p w14:paraId="7FB264AF">
      <w:pPr>
        <w:widowControl/>
        <w:spacing w:after="60"/>
        <w:ind w:firstLine="420"/>
      </w:pPr>
      <w:r>
        <w:rPr>
          <w:color w:val="000000"/>
        </w:rPr>
        <w:t>MFC 下行路径采用原理图第 3 页的隔离收发电路及 J9/J15 RJ45 接口，按一主多从总线布线。J9 与 J15 是同一总线的连接点，不代表两个独立通道。线束应沿主干分配到六台 MFC，终端电阻按总线两端配置，不在每台设备上重复并联。[S4]</w:t>
      </w:r>
    </w:p>
    <w:p w14:paraId="79CD8FA6">
      <w:pPr>
        <w:widowControl/>
        <w:spacing w:after="60"/>
        <w:ind w:firstLine="420"/>
      </w:pPr>
      <w:r>
        <w:rPr>
          <w:color w:val="000000"/>
        </w:rPr>
        <w:t>气路示意图定义了阀号和工作通路；外部阀应按其实际接线与 GPIO 建立映射表。机械手动按钮、急停、阀位或驱动反馈的信号接入尚待硬件确认，不能用软件命令位代替实际阀位。</w:t>
      </w:r>
    </w:p>
    <w:p w14:paraId="5E0CB9BB">
      <w:pPr>
        <w:pStyle w:val="3"/>
      </w:pPr>
      <w:bookmarkStart w:id="12" w:name="_Toc239940989"/>
      <w:r>
        <w:t>软件功能划分图</w:t>
      </w:r>
      <w:bookmarkEnd w:id="12"/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868"/>
        <w:gridCol w:w="5532"/>
        <w:gridCol w:w="3066"/>
      </w:tblGrid>
      <w:tr w14:paraId="0E513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868" w:type="dxa"/>
            <w:vAlign w:val="center"/>
          </w:tcPr>
          <w:p w14:paraId="293E2077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层级或模块</w:t>
            </w:r>
          </w:p>
        </w:tc>
        <w:tc>
          <w:tcPr>
            <w:tcW w:w="5532" w:type="dxa"/>
            <w:vAlign w:val="center"/>
          </w:tcPr>
          <w:p w14:paraId="4F702D6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职责</w:t>
            </w:r>
          </w:p>
        </w:tc>
        <w:tc>
          <w:tcPr>
            <w:tcW w:w="3066" w:type="dxa"/>
            <w:vAlign w:val="center"/>
          </w:tcPr>
          <w:p w14:paraId="1D8B9148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主要接口</w:t>
            </w:r>
          </w:p>
        </w:tc>
      </w:tr>
      <w:tr w14:paraId="3AFE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5C222BE8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业务控制</w:t>
            </w:r>
          </w:p>
        </w:tc>
        <w:tc>
          <w:tcPr>
            <w:tcW w:w="5532" w:type="dxa"/>
            <w:vAlign w:val="center"/>
          </w:tcPr>
          <w:p w14:paraId="25FB5DB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整机模式、启停、通路切换、运行许可与维护流程</w:t>
            </w:r>
          </w:p>
        </w:tc>
        <w:tc>
          <w:tcPr>
            <w:tcW w:w="3066" w:type="dxa"/>
            <w:vAlign w:val="center"/>
          </w:tcPr>
          <w:p w14:paraId="374707A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system_request / system_step</w:t>
            </w:r>
          </w:p>
        </w:tc>
      </w:tr>
      <w:tr w14:paraId="1C62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4B0EED6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通道管理</w:t>
            </w:r>
          </w:p>
        </w:tc>
        <w:tc>
          <w:tcPr>
            <w:tcW w:w="5532" w:type="dxa"/>
            <w:vAlign w:val="center"/>
          </w:tcPr>
          <w:p w14:paraId="16B6A38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六路配置、流量换算、写回读、就绪及故障状态</w:t>
            </w:r>
          </w:p>
        </w:tc>
        <w:tc>
          <w:tcPr>
            <w:tcW w:w="3066" w:type="dxa"/>
            <w:vAlign w:val="center"/>
          </w:tcPr>
          <w:p w14:paraId="77ABFF0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mfc_channel[6]</w:t>
            </w:r>
          </w:p>
        </w:tc>
      </w:tr>
      <w:tr w14:paraId="7B5C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118B978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阀门与报警</w:t>
            </w:r>
          </w:p>
        </w:tc>
        <w:tc>
          <w:tcPr>
            <w:tcW w:w="5532" w:type="dxa"/>
            <w:vAlign w:val="center"/>
          </w:tcPr>
          <w:p w14:paraId="333FD6F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V1 至 V9 仲裁、分组电源、故障停机、事件记录</w:t>
            </w:r>
          </w:p>
        </w:tc>
        <w:tc>
          <w:tcPr>
            <w:tcW w:w="3066" w:type="dxa"/>
            <w:vAlign w:val="center"/>
          </w:tcPr>
          <w:p w14:paraId="3327079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valve_request / alarm_raise</w:t>
            </w:r>
          </w:p>
        </w:tc>
      </w:tr>
      <w:tr w14:paraId="1FE0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148DF2D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通讯服务</w:t>
            </w:r>
          </w:p>
        </w:tc>
        <w:tc>
          <w:tcPr>
            <w:tcW w:w="5532" w:type="dxa"/>
            <w:vAlign w:val="center"/>
          </w:tcPr>
          <w:p w14:paraId="24AA19EB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单事务调度、帧解析、超时重试与设备地址匹配</w:t>
            </w:r>
          </w:p>
        </w:tc>
        <w:tc>
          <w:tcPr>
            <w:tcW w:w="3066" w:type="dxa"/>
            <w:vAlign w:val="center"/>
          </w:tcPr>
          <w:p w14:paraId="2CB110DB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mfc_submit / mfc_poll</w:t>
            </w:r>
          </w:p>
        </w:tc>
      </w:tr>
      <w:tr w14:paraId="6A47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0207887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硬件抽象</w:t>
            </w:r>
          </w:p>
        </w:tc>
        <w:tc>
          <w:tcPr>
            <w:tcW w:w="5532" w:type="dxa"/>
            <w:vAlign w:val="center"/>
          </w:tcPr>
          <w:p w14:paraId="7609E0D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SCI、方向控制、GPIO、时基、Flash、看门狗</w:t>
            </w:r>
          </w:p>
        </w:tc>
        <w:tc>
          <w:tcPr>
            <w:tcW w:w="3066" w:type="dxa"/>
            <w:vAlign w:val="center"/>
          </w:tcPr>
          <w:p w14:paraId="7404769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bsp_uart / bsp_valve / bsp_tick</w:t>
            </w:r>
          </w:p>
        </w:tc>
      </w:tr>
    </w:tbl>
    <w:p w14:paraId="57950FBD">
      <w:pPr>
        <w:spacing w:line="60" w:lineRule="exact"/>
      </w:pPr>
    </w:p>
    <w:p w14:paraId="0C89BCF3">
      <w:pPr>
        <w:pStyle w:val="3"/>
      </w:pPr>
      <w:bookmarkStart w:id="13" w:name="_Toc239940990"/>
      <w:r>
        <w:t>软件架构图</w:t>
      </w:r>
      <w:bookmarkEnd w:id="13"/>
    </w:p>
    <w:p w14:paraId="1B227059">
      <w:pPr>
        <w:widowControl/>
        <w:spacing w:after="60"/>
        <w:ind w:firstLine="420"/>
      </w:pPr>
      <w:r>
        <w:rPr>
          <w:color w:val="000000"/>
        </w:rPr>
        <w:t>命令入口 → 参数与权限校验 → 整机状态机 → 通道控制事务 → EX201 协议与总线调度 → SCI/GPIO 驱动；接收数据沿相反方向更新通道快照，再供界面和报警模块使用。界面、上位机和维护命令均不得直接改写阀门 GPIO。</w:t>
      </w:r>
    </w:p>
    <w:p w14:paraId="133CD768">
      <w:pPr>
        <w:widowControl/>
        <w:spacing w:after="60"/>
        <w:ind w:firstLine="420"/>
      </w:pPr>
      <w:r>
        <w:rPr>
          <w:color w:val="000000"/>
        </w:rPr>
        <w:t>串口中断只完成字节收发、接收错误记录和时间戳更新，不执行字符串解析、Flash 擦写或整机状态切换。主循环依次处理接收帧、硬件停机条件、阀门计时、事务状态机、通道轮询、界面命令和后台存储。每项任务有执行上限，禁止用延时等待设备响应。</w:t>
      </w:r>
    </w:p>
    <w:p w14:paraId="202078CA">
      <w:pPr>
        <w:pStyle w:val="3"/>
      </w:pPr>
      <w:bookmarkStart w:id="14" w:name="_Toc239940991"/>
      <w:r>
        <w:t>软件运行流程图</w:t>
      </w:r>
      <w:bookmarkEnd w:id="14"/>
    </w:p>
    <w:p w14:paraId="18C6A637">
      <w:pPr>
        <w:keepNext/>
        <w:jc w:val="center"/>
      </w:pPr>
      <w:r>
        <w:drawing>
          <wp:inline distT="0" distB="0" distL="0" distR="0">
            <wp:extent cx="6446520" cy="2234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23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54BD">
      <w:pPr>
        <w:spacing w:after="120"/>
        <w:jc w:val="center"/>
      </w:pPr>
      <w:r>
        <w:rPr>
          <w:color w:val="000000"/>
          <w:sz w:val="21"/>
        </w:rPr>
        <w:t>图 3-2 软件总体运行流程</w:t>
      </w:r>
    </w:p>
    <w:p w14:paraId="07369873">
      <w:pPr>
        <w:widowControl/>
        <w:spacing w:after="60"/>
        <w:ind w:firstLine="420"/>
      </w:pPr>
      <w:r>
        <w:rPr>
          <w:color w:val="000000"/>
        </w:rPr>
        <w:t>上电首先配置关断输出，再初始化时钟和通讯。初始化期间逐台读取参数和状态；保持支路关闭，建立数字控制与关闭基线。按手册执行 15 min 以上预热，预热期间允许读取但正式运行需就绪许可。调试若需要跳过预热，应以维护权限标记为未达到精度条件，不能作为验收运行。[S2]</w:t>
      </w:r>
    </w:p>
    <w:p w14:paraId="548339AF">
      <w:pPr>
        <w:pStyle w:val="2"/>
        <w:pageBreakBefore/>
        <w:jc w:val="center"/>
      </w:pPr>
      <w:bookmarkStart w:id="15" w:name="_Toc239940992"/>
      <w:r>
        <w:t>模块功能详细设计</w:t>
      </w:r>
      <w:bookmarkEnd w:id="15"/>
    </w:p>
    <w:p w14:paraId="4948DA79">
      <w:pPr>
        <w:pStyle w:val="3"/>
      </w:pPr>
      <w:bookmarkStart w:id="16" w:name="_Toc239940993"/>
      <w:r>
        <w:t>MFC 通讯硬件模块</w:t>
      </w:r>
      <w:bookmarkEnd w:id="16"/>
    </w:p>
    <w:p w14:paraId="0AF21D04">
      <w:pPr>
        <w:pStyle w:val="4"/>
      </w:pPr>
      <w:r>
        <w:t>接口与引脚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2242"/>
        <w:gridCol w:w="5083"/>
        <w:gridCol w:w="3141"/>
      </w:tblGrid>
      <w:tr w14:paraId="733C5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2242" w:type="dxa"/>
            <w:vAlign w:val="center"/>
          </w:tcPr>
          <w:p w14:paraId="054FD9C1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信号或端口</w:t>
            </w:r>
          </w:p>
        </w:tc>
        <w:tc>
          <w:tcPr>
            <w:tcW w:w="5083" w:type="dxa"/>
            <w:vAlign w:val="center"/>
          </w:tcPr>
          <w:p w14:paraId="63617689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MCU 引脚或连接关系</w:t>
            </w:r>
          </w:p>
        </w:tc>
        <w:tc>
          <w:tcPr>
            <w:tcW w:w="3141" w:type="dxa"/>
            <w:vAlign w:val="center"/>
          </w:tcPr>
          <w:p w14:paraId="2D0D532B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用途</w:t>
            </w:r>
          </w:p>
        </w:tc>
      </w:tr>
      <w:tr w14:paraId="5230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6C5F9FD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MFC_TXD2 / RXD2</w:t>
            </w:r>
          </w:p>
        </w:tc>
        <w:tc>
          <w:tcPr>
            <w:tcW w:w="5083" w:type="dxa"/>
            <w:vAlign w:val="center"/>
          </w:tcPr>
          <w:p w14:paraId="2B831EB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P302 pin30 / P301 pin31</w:t>
            </w:r>
          </w:p>
        </w:tc>
        <w:tc>
          <w:tcPr>
            <w:tcW w:w="3141" w:type="dxa"/>
            <w:vAlign w:val="center"/>
          </w:tcPr>
          <w:p w14:paraId="603E54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SCI2 发送与接收</w:t>
            </w:r>
          </w:p>
        </w:tc>
      </w:tr>
      <w:tr w14:paraId="05B6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22DFF11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MFC_EN2 / RES2</w:t>
            </w:r>
          </w:p>
        </w:tc>
        <w:tc>
          <w:tcPr>
            <w:tcW w:w="5083" w:type="dxa"/>
            <w:vAlign w:val="center"/>
          </w:tcPr>
          <w:p w14:paraId="0430D51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P304 pin28 / P303 pin29</w:t>
            </w:r>
          </w:p>
        </w:tc>
        <w:tc>
          <w:tcPr>
            <w:tcW w:w="3141" w:type="dxa"/>
            <w:vAlign w:val="center"/>
          </w:tcPr>
          <w:p w14:paraId="606B0BF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收发方向及终端电阻控制；经过隔离级后的有效极性待实测</w:t>
            </w:r>
          </w:p>
        </w:tc>
      </w:tr>
      <w:tr w14:paraId="0295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3BA14E6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J9 / J15 RJ45</w:t>
            </w:r>
          </w:p>
        </w:tc>
        <w:tc>
          <w:tcPr>
            <w:tcW w:w="5083" w:type="dxa"/>
            <w:vAlign w:val="center"/>
          </w:tcPr>
          <w:p w14:paraId="364A793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pin1、2：GND4；pin4：H/B；pin5：L/A</w:t>
            </w:r>
          </w:p>
        </w:tc>
        <w:tc>
          <w:tcPr>
            <w:tcW w:w="3141" w:type="dxa"/>
            <w:vAlign w:val="center"/>
          </w:tcPr>
          <w:p w14:paraId="6219607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板端 RS485 总线连接点</w:t>
            </w:r>
          </w:p>
        </w:tc>
      </w:tr>
      <w:tr w14:paraId="3DF12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3F9A45B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EX201 RJ45</w:t>
            </w:r>
          </w:p>
        </w:tc>
        <w:tc>
          <w:tcPr>
            <w:tcW w:w="5083" w:type="dxa"/>
            <w:vAlign w:val="center"/>
          </w:tcPr>
          <w:p w14:paraId="1C722DF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pin1、2：TR_COM；pin4：TR−；pin5：TR+</w:t>
            </w:r>
          </w:p>
        </w:tc>
        <w:tc>
          <w:tcPr>
            <w:tcW w:w="3141" w:type="dxa"/>
            <w:vAlign w:val="center"/>
          </w:tcPr>
          <w:p w14:paraId="635B3AF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设备端手册引脚；pin3、6、7、8 不连接</w:t>
            </w:r>
          </w:p>
        </w:tc>
      </w:tr>
      <w:tr w14:paraId="054D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68B0918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MFC_LINKIN / OUT</w:t>
            </w:r>
          </w:p>
        </w:tc>
        <w:tc>
          <w:tcPr>
            <w:tcW w:w="5083" w:type="dxa"/>
            <w:vAlign w:val="center"/>
          </w:tcPr>
          <w:p w14:paraId="58CD0D1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P206 pin22 / P205 pin23</w:t>
            </w:r>
          </w:p>
        </w:tc>
        <w:tc>
          <w:tcPr>
            <w:tcW w:w="3141" w:type="dxa"/>
            <w:vAlign w:val="center"/>
          </w:tcPr>
          <w:p w14:paraId="4D7B112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原理图连接至 RJ45 指示灯相关电路，不作为 MFC 在线确认</w:t>
            </w:r>
          </w:p>
        </w:tc>
      </w:tr>
    </w:tbl>
    <w:p w14:paraId="187F553F">
      <w:pPr>
        <w:spacing w:line="60" w:lineRule="exact"/>
      </w:pPr>
    </w:p>
    <w:p w14:paraId="67F6012A">
      <w:pPr>
        <w:widowControl/>
        <w:spacing w:after="60"/>
        <w:ind w:firstLine="420"/>
      </w:pPr>
      <w:r>
        <w:rPr>
          <w:color w:val="000000"/>
        </w:rPr>
        <w:t>板端与设备端应按 TR+/TR−及实际收发器极性逐针核对，不能只凭 A/B 或 H/L 名称推断。使用专用线束；此 RJ45 不连接以太网交换机，也不使用 PoE 供电。TR_COM 的连接、屏蔽及 GND4/GND5 的参考关系需在整机线束图中明确。[S2][S4]</w:t>
      </w:r>
    </w:p>
    <w:p w14:paraId="639799B3">
      <w:pPr>
        <w:widowControl/>
        <w:spacing w:after="60"/>
        <w:ind w:firstLine="420"/>
      </w:pPr>
      <w:r>
        <w:rPr>
          <w:color w:val="000000"/>
        </w:rPr>
        <w:t>原理图 J10 的 DB9 将 pin1 定义为 H/B、pin7 定义为 L/A；EX201 手册则定义 pin1 为内部阀强制开闭输入、pin7 为流量输出 COM。两者不具备直接一一对接条件。正式接线必须按 EX201 设备端定义制作专用转接：通讯走 RJ45，电源与控制走正确的 DB9 引脚。[S2 印刷页 10][S4 第 3 页]</w:t>
      </w:r>
    </w:p>
    <w:p w14:paraId="49F04204">
      <w:pPr>
        <w:pStyle w:val="4"/>
      </w:pPr>
      <w:r>
        <w:t>供电与控制优先级</w:t>
      </w:r>
    </w:p>
    <w:p w14:paraId="21217310">
      <w:pPr>
        <w:widowControl/>
        <w:spacing w:after="60"/>
        <w:ind w:firstLine="420"/>
      </w:pPr>
      <w:r>
        <w:rPr>
          <w:color w:val="000000"/>
        </w:rPr>
        <w:t>EX201 +24 V 版本的 DB9 pin3 为电源输入、pin4 为电源 COM；应按实物铭牌核实电源版本。手册给出 +12 至 +24 V、单台 300 mA 以下的条件，六台按 300 mA 保守估算为 1.8 A；24 V 下约 43.2 W。原理图 MFC 电源模块标注 60 W，仍需校核启动、温升、线损及保护余量。[S2][S4]</w:t>
      </w:r>
    </w:p>
    <w:p w14:paraId="1B47FDF6">
      <w:pPr>
        <w:widowControl/>
        <w:spacing w:after="60"/>
        <w:ind w:firstLine="420"/>
      </w:pPr>
      <w:r>
        <w:rPr>
          <w:color w:val="000000"/>
        </w:rPr>
        <w:t>DB9 pin1 的外部强制信号优先于数字设定：开路为控制、接流量输出 COM 为全关闭、输入 +5 至 +24 V 为全打开。建议正常运行保持“控制”，如采用硬件强制关闭，使用经电平匹配的开漏或隔离电路；禁止将 +24 V 直接送入 MCU 引脚。失去通讯时不能假定 MFC 自动归零，外部关断能力必须独立验证。[S2 印刷页 11]</w:t>
      </w:r>
    </w:p>
    <w:p w14:paraId="33E69558">
      <w:pPr>
        <w:pStyle w:val="3"/>
      </w:pPr>
      <w:bookmarkStart w:id="17" w:name="_Toc239940994"/>
      <w:r>
        <w:t>EX201 通讯协议模块</w:t>
      </w:r>
      <w:bookmarkEnd w:id="17"/>
    </w:p>
    <w:p w14:paraId="2FFC15AE">
      <w:pPr>
        <w:pStyle w:val="4"/>
      </w:pPr>
      <w:r>
        <w:t>总线与电文格式</w:t>
      </w:r>
    </w:p>
    <w:p w14:paraId="74D87D57">
      <w:pPr>
        <w:widowControl/>
        <w:spacing w:after="60"/>
        <w:ind w:firstLine="420"/>
      </w:pPr>
      <w:r>
        <w:rPr>
          <w:color w:val="000000"/>
        </w:rPr>
        <w:t>下行使用 EX201 自定义 ASCII 协议，默认 9600 bps、8 数据位、无校验、1 停止位；若设备 OPTION 铭牌另有标注，以铭牌为准。主站同一时刻只允许一笔未完成事务。地址拨码建议分别设为 01 至 06，报文编码为 001 至 006。[S1 印刷页 5 至 7]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046"/>
        <w:gridCol w:w="5681"/>
        <w:gridCol w:w="3739"/>
      </w:tblGrid>
      <w:tr w14:paraId="4E925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046" w:type="dxa"/>
            <w:vAlign w:val="center"/>
          </w:tcPr>
          <w:p w14:paraId="304D573C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方向</w:t>
            </w:r>
          </w:p>
        </w:tc>
        <w:tc>
          <w:tcPr>
            <w:tcW w:w="5681" w:type="dxa"/>
            <w:vAlign w:val="center"/>
          </w:tcPr>
          <w:p w14:paraId="2218708A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字段顺序</w:t>
            </w:r>
          </w:p>
        </w:tc>
        <w:tc>
          <w:tcPr>
            <w:tcW w:w="3739" w:type="dxa"/>
            <w:vAlign w:val="center"/>
          </w:tcPr>
          <w:p w14:paraId="1EA22C83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说明</w:t>
            </w:r>
          </w:p>
        </w:tc>
      </w:tr>
      <w:tr w14:paraId="59C4A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046" w:type="dxa"/>
            <w:vAlign w:val="center"/>
          </w:tcPr>
          <w:p w14:paraId="5E370B1B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请求</w:t>
            </w:r>
          </w:p>
        </w:tc>
        <w:tc>
          <w:tcPr>
            <w:tcW w:w="5681" w:type="dxa"/>
            <w:vAlign w:val="center"/>
          </w:tcPr>
          <w:p w14:paraId="00B1EC7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 + ID(3) + CMD(4) + DATA(n) + SUM(2) + CR</w:t>
            </w:r>
          </w:p>
        </w:tc>
        <w:tc>
          <w:tcPr>
            <w:tcW w:w="3739" w:type="dxa"/>
            <w:vAlign w:val="center"/>
          </w:tcPr>
          <w:p w14:paraId="44C8788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 为 0x40；数据长度由命令决定；CR 为 0x0D。</w:t>
            </w:r>
          </w:p>
        </w:tc>
      </w:tr>
      <w:tr w14:paraId="52413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046" w:type="dxa"/>
            <w:vAlign w:val="center"/>
          </w:tcPr>
          <w:p w14:paraId="681B0364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响应</w:t>
            </w:r>
          </w:p>
        </w:tc>
        <w:tc>
          <w:tcPr>
            <w:tcW w:w="5681" w:type="dxa"/>
            <w:vAlign w:val="center"/>
          </w:tcPr>
          <w:p w14:paraId="6F5E0EC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% + ID(3) + CMD(4) + OK/NG(2) + DATA(n) + SUM(2) + CR</w:t>
            </w:r>
          </w:p>
        </w:tc>
        <w:tc>
          <w:tcPr>
            <w:tcW w:w="3739" w:type="dxa"/>
            <w:vAlign w:val="center"/>
          </w:tcPr>
          <w:p w14:paraId="066B023B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% 为 0x25；写命令通常无数据，但仍应收到结束代码及校验。</w:t>
            </w:r>
          </w:p>
        </w:tc>
      </w:tr>
      <w:tr w14:paraId="3E0E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046" w:type="dxa"/>
            <w:vAlign w:val="center"/>
          </w:tcPr>
          <w:p w14:paraId="2B99005B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校验</w:t>
            </w:r>
          </w:p>
        </w:tc>
        <w:tc>
          <w:tcPr>
            <w:tcW w:w="5681" w:type="dxa"/>
            <w:vAlign w:val="center"/>
          </w:tcPr>
          <w:p w14:paraId="27AF626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SUM = 所有起始符至数据字节之和的低 8 位</w:t>
            </w:r>
          </w:p>
        </w:tc>
        <w:tc>
          <w:tcPr>
            <w:tcW w:w="3739" w:type="dxa"/>
            <w:vAlign w:val="center"/>
          </w:tcPr>
          <w:p w14:paraId="0E5DC30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将结果转换为两位大写十六进制 ASCII；不包含 SUM 自身及 CR。</w:t>
            </w:r>
          </w:p>
        </w:tc>
      </w:tr>
    </w:tbl>
    <w:p w14:paraId="60397450">
      <w:pPr>
        <w:spacing w:line="60" w:lineRule="exact"/>
      </w:pPr>
    </w:p>
    <w:p w14:paraId="172FFFD9">
      <w:pPr>
        <w:widowControl/>
        <w:spacing w:after="60"/>
        <w:ind w:firstLine="420"/>
      </w:pPr>
      <w:r>
        <w:rPr>
          <w:color w:val="000000"/>
        </w:rPr>
        <w:t>接收采用“找 % → 累计至 CR → 验证长度、校验、地址、命令与结束代码 → 解析数据”的状态机。缓存初值可取 64 字节；过长帧、无效字符、串口溢出和未结束帧均丢弃并记录。发送方向在最后一个停止位真正发完后切回接收，不能在发送缓冲区空时提前切换。</w:t>
      </w:r>
    </w:p>
    <w:p w14:paraId="2776F90E">
      <w:pPr>
        <w:pStyle w:val="4"/>
      </w:pPr>
      <w:r>
        <w:t>核心命令表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943"/>
        <w:gridCol w:w="3214"/>
        <w:gridCol w:w="5309"/>
      </w:tblGrid>
      <w:tr w14:paraId="6B682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943" w:type="dxa"/>
            <w:vAlign w:val="center"/>
          </w:tcPr>
          <w:p w14:paraId="1A3D6408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命令</w:t>
            </w:r>
          </w:p>
        </w:tc>
        <w:tc>
          <w:tcPr>
            <w:tcW w:w="3214" w:type="dxa"/>
            <w:vAlign w:val="center"/>
          </w:tcPr>
          <w:p w14:paraId="4033477F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用途</w:t>
            </w:r>
          </w:p>
        </w:tc>
        <w:tc>
          <w:tcPr>
            <w:tcW w:w="5309" w:type="dxa"/>
            <w:vAlign w:val="center"/>
          </w:tcPr>
          <w:p w14:paraId="0A4A9CA5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数据与约束</w:t>
            </w:r>
          </w:p>
        </w:tc>
      </w:tr>
      <w:tr w14:paraId="0EA3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14BAC30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RMFS / RDPP / RFRU</w:t>
            </w:r>
          </w:p>
        </w:tc>
        <w:tc>
          <w:tcPr>
            <w:tcW w:w="3214" w:type="dxa"/>
            <w:vAlign w:val="center"/>
          </w:tcPr>
          <w:p w14:paraId="5BD7A05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读满量程、流量小数位、单位</w:t>
            </w:r>
          </w:p>
        </w:tc>
        <w:tc>
          <w:tcPr>
            <w:tcW w:w="5309" w:type="dxa"/>
            <w:vAlign w:val="center"/>
          </w:tcPr>
          <w:p w14:paraId="7A2F963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RMFS：4 位 0001 至 9999；RDPP：0 至 3；RFRU：0=cc，1=L。</w:t>
            </w:r>
          </w:p>
        </w:tc>
      </w:tr>
      <w:tr w14:paraId="54BC2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232BBB4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RFRC / RCGT / RRMD</w:t>
            </w:r>
          </w:p>
        </w:tc>
        <w:tc>
          <w:tcPr>
            <w:tcW w:w="3214" w:type="dxa"/>
            <w:vAlign w:val="center"/>
          </w:tcPr>
          <w:p w14:paraId="5FBBF9E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读基准温度、气体、动作模式</w:t>
            </w:r>
          </w:p>
        </w:tc>
        <w:tc>
          <w:tcPr>
            <w:tcW w:w="5309" w:type="dxa"/>
            <w:vAlign w:val="center"/>
          </w:tcPr>
          <w:p w14:paraId="496F7A8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温度 00/20/25；气体 0 至 8；模式 1=校准气体、2=CF 换算、4=多气体。</w:t>
            </w:r>
          </w:p>
        </w:tc>
      </w:tr>
      <w:tr w14:paraId="108E1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51DC4454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RFSM / WFSM</w:t>
            </w:r>
          </w:p>
        </w:tc>
        <w:tc>
          <w:tcPr>
            <w:tcW w:w="3214" w:type="dxa"/>
            <w:vAlign w:val="center"/>
          </w:tcPr>
          <w:p w14:paraId="0A362B0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读写流量设定来源</w:t>
            </w:r>
          </w:p>
        </w:tc>
        <w:tc>
          <w:tcPr>
            <w:tcW w:w="5309" w:type="dxa"/>
            <w:vAlign w:val="center"/>
          </w:tcPr>
          <w:p w14:paraId="5B1D5D3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0=数字，1=模拟；启动前确认数字模式。</w:t>
            </w:r>
          </w:p>
        </w:tc>
      </w:tr>
      <w:tr w14:paraId="5A24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362BEB6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WSFD / RSFD</w:t>
            </w:r>
          </w:p>
        </w:tc>
        <w:tc>
          <w:tcPr>
            <w:tcW w:w="3214" w:type="dxa"/>
            <w:vAlign w:val="center"/>
          </w:tcPr>
          <w:p w14:paraId="4DF379D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写入及回读数字设定流量</w:t>
            </w:r>
          </w:p>
        </w:tc>
        <w:tc>
          <w:tcPr>
            <w:tcW w:w="5309" w:type="dxa"/>
            <w:vAlign w:val="center"/>
          </w:tcPr>
          <w:p w14:paraId="1095B3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WSFD 写 4 位尾数 0000 至满量程尾数；RSFD 读取 4 位尾数。</w:t>
            </w:r>
          </w:p>
        </w:tc>
      </w:tr>
      <w:tr w14:paraId="353C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3E8C5C0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RCFR</w:t>
            </w:r>
          </w:p>
        </w:tc>
        <w:tc>
          <w:tcPr>
            <w:tcW w:w="3214" w:type="dxa"/>
            <w:vAlign w:val="center"/>
          </w:tcPr>
          <w:p w14:paraId="29B34DA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读取瞬时流量</w:t>
            </w:r>
          </w:p>
        </w:tc>
        <w:tc>
          <w:tcPr>
            <w:tcW w:w="5309" w:type="dxa"/>
            <w:vAlign w:val="center"/>
          </w:tcPr>
          <w:p w14:paraId="5EB7336B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按带符号尾数解析，小数位与单位来自设备参数；长度歧义见第 4.9 节。</w:t>
            </w:r>
          </w:p>
        </w:tc>
      </w:tr>
      <w:tr w14:paraId="0C14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6E08AAB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WVSS / RVSS</w:t>
            </w:r>
          </w:p>
        </w:tc>
        <w:tc>
          <w:tcPr>
            <w:tcW w:w="3214" w:type="dxa"/>
            <w:vAlign w:val="center"/>
          </w:tcPr>
          <w:p w14:paraId="5D8AFE7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设置及读取数字内部阀状态</w:t>
            </w:r>
          </w:p>
        </w:tc>
        <w:tc>
          <w:tcPr>
            <w:tcW w:w="5309" w:type="dxa"/>
            <w:vAlign w:val="center"/>
          </w:tcPr>
          <w:p w14:paraId="3850BAA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0=全开，1=流量控制，2=全关；常规界面不提供强制全开。</w:t>
            </w:r>
          </w:p>
        </w:tc>
      </w:tr>
      <w:tr w14:paraId="00F0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06369F4B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RCVS / RCVO</w:t>
            </w:r>
          </w:p>
        </w:tc>
        <w:tc>
          <w:tcPr>
            <w:tcW w:w="3214" w:type="dxa"/>
            <w:vAlign w:val="center"/>
          </w:tcPr>
          <w:p w14:paraId="7889B6C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读取内部阀状态与开度</w:t>
            </w:r>
          </w:p>
        </w:tc>
        <w:tc>
          <w:tcPr>
            <w:tcW w:w="5309" w:type="dxa"/>
            <w:vAlign w:val="center"/>
          </w:tcPr>
          <w:p w14:paraId="56366C9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RCVS：0/1/2/3 对应全开/控制/全关/50%；RCVO：0000 至 1000，单位 0.1%。</w:t>
            </w:r>
          </w:p>
        </w:tc>
      </w:tr>
      <w:tr w14:paraId="5D15B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19FCFE66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RALM</w:t>
            </w:r>
          </w:p>
        </w:tc>
        <w:tc>
          <w:tcPr>
            <w:tcW w:w="3214" w:type="dxa"/>
            <w:vAlign w:val="center"/>
          </w:tcPr>
          <w:p w14:paraId="19B85FC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读取报警位掩码</w:t>
            </w:r>
          </w:p>
        </w:tc>
        <w:tc>
          <w:tcPr>
            <w:tcW w:w="5309" w:type="dxa"/>
            <w:vAlign w:val="center"/>
          </w:tcPr>
          <w:p w14:paraId="513E462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1=传感器异常，2=阀过热，4=设定值存储异常；多项可相加。</w:t>
            </w:r>
          </w:p>
        </w:tc>
      </w:tr>
      <w:tr w14:paraId="021C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2653759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RALA / WALA</w:t>
            </w:r>
          </w:p>
        </w:tc>
        <w:tc>
          <w:tcPr>
            <w:tcW w:w="3214" w:type="dxa"/>
            <w:vAlign w:val="center"/>
          </w:tcPr>
          <w:p w14:paraId="6AD2F8B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读取与设置设备报警动作</w:t>
            </w:r>
          </w:p>
        </w:tc>
        <w:tc>
          <w:tcPr>
            <w:tcW w:w="5309" w:type="dxa"/>
            <w:vAlign w:val="center"/>
          </w:tcPr>
          <w:p w14:paraId="3A9BB28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建议配置 1=强制全关并回读；仅对设备报警有效，不能据此推断通讯失联动作。</w:t>
            </w:r>
          </w:p>
        </w:tc>
      </w:tr>
      <w:tr w14:paraId="77DE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08BE6DB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RRDP / RPCF / RCCF</w:t>
            </w:r>
          </w:p>
        </w:tc>
        <w:tc>
          <w:tcPr>
            <w:tcW w:w="3214" w:type="dxa"/>
            <w:vAlign w:val="center"/>
          </w:tcPr>
          <w:p w14:paraId="0C83960C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读取差压档、校准 CF、当前 CF</w:t>
            </w:r>
          </w:p>
        </w:tc>
        <w:tc>
          <w:tcPr>
            <w:tcW w:w="5309" w:type="dxa"/>
            <w:vAlign w:val="center"/>
          </w:tcPr>
          <w:p w14:paraId="2F1FF3F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只作参数显示与核对；变更差压、模式及 CF 限于受控维护。</w:t>
            </w:r>
          </w:p>
        </w:tc>
      </w:tr>
      <w:tr w14:paraId="2C795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1AEC711B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ZERO</w:t>
            </w:r>
          </w:p>
        </w:tc>
        <w:tc>
          <w:tcPr>
            <w:tcW w:w="3214" w:type="dxa"/>
            <w:vAlign w:val="center"/>
          </w:tcPr>
          <w:p w14:paraId="7BBBD7F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传感器调零</w:t>
            </w:r>
          </w:p>
        </w:tc>
        <w:tc>
          <w:tcPr>
            <w:tcW w:w="5309" w:type="dxa"/>
            <w:vAlign w:val="center"/>
          </w:tcPr>
          <w:p w14:paraId="70594A0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仅维护模式、流路隔离并满足零差压条件时执行，不自动重试。</w:t>
            </w:r>
          </w:p>
        </w:tc>
      </w:tr>
    </w:tbl>
    <w:p w14:paraId="4722E079">
      <w:pPr>
        <w:spacing w:line="60" w:lineRule="exact"/>
      </w:pPr>
    </w:p>
    <w:p w14:paraId="200A6683">
      <w:pPr>
        <w:widowControl/>
        <w:spacing w:after="60"/>
        <w:ind w:firstLine="420"/>
      </w:pPr>
      <w:r>
        <w:rPr>
          <w:color w:val="000000"/>
        </w:rPr>
        <w:t>首版不向用户开放未确认命令。RCFS 可作为实际设定来源诊断读取；RSFR 与 RAZS 在手册中的方向说明存在疑点，暂不用于启动和闭环依据。软件只使用已经完成单机验证的命令与严格匹配的数据格式。[S1]</w:t>
      </w:r>
    </w:p>
    <w:p w14:paraId="4A0B804A">
      <w:pPr>
        <w:pStyle w:val="4"/>
      </w:pPr>
      <w:r>
        <w:t>流量换算与设定事务</w:t>
      </w:r>
    </w:p>
    <w:p w14:paraId="36456269">
      <w:pPr>
        <w:widowControl/>
        <w:spacing w:after="60"/>
        <w:ind w:firstLine="420"/>
      </w:pPr>
      <w:r>
        <w:rPr>
          <w:color w:val="000000"/>
        </w:rPr>
        <w:t>设备流量 = 带符号尾数 × 10^(−小数位)。若 RFRU=0，界面按 cc/min 或 mL/min 显示；若 RFRU=1，按 L/min 显示。统一到 mL/min 时，L/min 数值乘 1000。显示必须同时保留 RFRC 的基准温度条件，不能把不同基准条件的体积流量直接当成相同计量条件。</w:t>
      </w:r>
    </w:p>
    <w:p w14:paraId="1EDD3395">
      <w:pPr>
        <w:widowControl/>
        <w:spacing w:after="60"/>
        <w:ind w:firstLine="420"/>
      </w:pPr>
      <w:r>
        <w:rPr>
          <w:color w:val="000000"/>
        </w:rPr>
        <w:t>示例：RMFS=1000、RDPP=1、RFRU=0 时，满量程为 100.0 mL/min。用户设定 25.0 mL/min，对应 WSFD 数据 0250。换算使用整数定点或受控舍入，先检查有限值与上下界，再格式化为固定四位数字。</w:t>
      </w:r>
    </w:p>
    <w:p w14:paraId="2710A203">
      <w:pPr>
        <w:widowControl/>
        <w:spacing w:after="60"/>
        <w:ind w:firstLine="420"/>
      </w:pPr>
      <w:r>
        <w:rPr>
          <w:color w:val="000000"/>
        </w:rPr>
        <w:t>零设定允许用于停止；非零常规设定限定在设备 2% 至 100% F.S. 可控范围内。手册指出 1% F.S. 以下按全关闭处理，而 2% 以下控制不保证，因此界面拒绝 0 与 2% F.S. 之间的非零设定，不能静默修正为其他值。[S1 印刷页 3、13]</w:t>
      </w:r>
    </w:p>
    <w:p w14:paraId="4424207C">
      <w:pPr>
        <w:widowControl/>
        <w:spacing w:after="60"/>
        <w:ind w:firstLine="420"/>
      </w:pPr>
      <w:r>
        <w:rPr>
          <w:color w:val="000000"/>
        </w:rPr>
        <w:t>设定事务分为“接受请求、发送写命令、收到 OK、回读匹配、完成”五步。保存 requested_setpoint 与 confirmed_setpoint；只有 WSFD 得到有效 OK 且 RSFD 回读一致，才更新已确认设定。回读失败或不同步时标记执行结果未知或校验失败，禁止只因串口发送成功就显示已生效。</w:t>
      </w:r>
    </w:p>
    <w:p w14:paraId="38FF1541">
      <w:pPr>
        <w:pStyle w:val="4"/>
      </w:pPr>
      <w:r>
        <w:t>报文示例与校验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3887"/>
        <w:gridCol w:w="6579"/>
      </w:tblGrid>
      <w:tr w14:paraId="38397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3887" w:type="dxa"/>
            <w:vAlign w:val="center"/>
          </w:tcPr>
          <w:p w14:paraId="2CDF4125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用途</w:t>
            </w:r>
          </w:p>
        </w:tc>
        <w:tc>
          <w:tcPr>
            <w:tcW w:w="6579" w:type="dxa"/>
            <w:vAlign w:val="center"/>
          </w:tcPr>
          <w:p w14:paraId="0BD2FCD0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ASCII 报文</w:t>
            </w:r>
          </w:p>
        </w:tc>
      </w:tr>
      <w:tr w14:paraId="76A6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3887" w:type="dxa"/>
            <w:vAlign w:val="center"/>
          </w:tcPr>
          <w:p w14:paraId="10D44D64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读 CH1 瞬时流量</w:t>
            </w:r>
          </w:p>
        </w:tc>
        <w:tc>
          <w:tcPr>
            <w:tcW w:w="6579" w:type="dxa"/>
            <w:vAlign w:val="center"/>
          </w:tcPr>
          <w:p w14:paraId="3BA9A83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@001RCFRFE&lt;CR&gt;</w:t>
            </w:r>
          </w:p>
        </w:tc>
      </w:tr>
      <w:tr w14:paraId="347E2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3887" w:type="dxa"/>
            <w:vAlign w:val="center"/>
          </w:tcPr>
          <w:p w14:paraId="7528DD7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切换数字来源</w:t>
            </w:r>
          </w:p>
        </w:tc>
        <w:tc>
          <w:tcPr>
            <w:tcW w:w="6579" w:type="dxa"/>
            <w:vAlign w:val="center"/>
          </w:tcPr>
          <w:p w14:paraId="3BC5F61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@001WFSM03E&lt;CR&gt;</w:t>
            </w:r>
          </w:p>
        </w:tc>
      </w:tr>
      <w:tr w14:paraId="3062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3887" w:type="dxa"/>
            <w:vAlign w:val="center"/>
          </w:tcPr>
          <w:p w14:paraId="667FB63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设定尾数 0250</w:t>
            </w:r>
          </w:p>
        </w:tc>
        <w:tc>
          <w:tcPr>
            <w:tcW w:w="6579" w:type="dxa"/>
            <w:vAlign w:val="center"/>
          </w:tcPr>
          <w:p w14:paraId="4C7E9D3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@001WSFD0250CC&lt;CR&gt;</w:t>
            </w:r>
          </w:p>
        </w:tc>
      </w:tr>
      <w:tr w14:paraId="694E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3887" w:type="dxa"/>
            <w:vAlign w:val="center"/>
          </w:tcPr>
          <w:p w14:paraId="47E9A9DF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数字内部阀关闭</w:t>
            </w:r>
          </w:p>
        </w:tc>
        <w:tc>
          <w:tcPr>
            <w:tcW w:w="6579" w:type="dxa"/>
            <w:vAlign w:val="center"/>
          </w:tcPr>
          <w:p w14:paraId="6A26B08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@001WVSS256&lt;CR&gt;</w:t>
            </w:r>
          </w:p>
        </w:tc>
      </w:tr>
      <w:tr w14:paraId="3E66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3887" w:type="dxa"/>
            <w:vAlign w:val="center"/>
          </w:tcPr>
          <w:p w14:paraId="0BB6AB4F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读取数字阀状态</w:t>
            </w:r>
          </w:p>
        </w:tc>
        <w:tc>
          <w:tcPr>
            <w:tcW w:w="6579" w:type="dxa"/>
            <w:vAlign w:val="center"/>
          </w:tcPr>
          <w:p w14:paraId="79D6BEE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@001RVSS1F&lt;CR&gt;</w:t>
            </w:r>
          </w:p>
        </w:tc>
      </w:tr>
      <w:tr w14:paraId="6CF9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3887" w:type="dxa"/>
            <w:vAlign w:val="center"/>
          </w:tcPr>
          <w:p w14:paraId="7F9C8E7F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阀状态为控制的响应</w:t>
            </w:r>
          </w:p>
        </w:tc>
        <w:tc>
          <w:tcPr>
            <w:tcW w:w="6579" w:type="dxa"/>
            <w:vAlign w:val="center"/>
          </w:tcPr>
          <w:p w14:paraId="34138C4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%001RVSSOK1CF&lt;CR&gt;</w:t>
            </w:r>
          </w:p>
        </w:tc>
      </w:tr>
    </w:tbl>
    <w:p w14:paraId="3AC72A46">
      <w:pPr>
        <w:spacing w:line="60" w:lineRule="exact"/>
      </w:pPr>
    </w:p>
    <w:p w14:paraId="05AD9E5E">
      <w:pPr>
        <w:widowControl/>
        <w:spacing w:after="60"/>
        <w:ind w:firstLine="420"/>
      </w:pPr>
      <w:r>
        <w:rPr>
          <w:color w:val="000000"/>
        </w:rPr>
        <w:t>表中的 &lt;CR&gt; 代表单个 0x0D 字节，不能发送四个可见字符。响应示例只验证帧格式；它不是前一行关闭命令的响应。实际接收必须与当前事务的地址和命令对应。</w:t>
      </w:r>
    </w:p>
    <w:p w14:paraId="70A134F1">
      <w:pPr>
        <w:pStyle w:val="4"/>
      </w:pPr>
      <w:r>
        <w:t>轮询与异常重试</w:t>
      </w:r>
    </w:p>
    <w:p w14:paraId="7378F59D">
      <w:pPr>
        <w:widowControl/>
        <w:spacing w:after="60"/>
        <w:ind w:firstLine="420"/>
      </w:pPr>
      <w:r>
        <w:rPr>
          <w:color w:val="000000"/>
        </w:rPr>
        <w:t>轮询采用轮转队列：RCFR 为快速项，RALM、RCVS、RSFD 为慢速项，量程与气体参数在初始化、维护变更或重连时读取。停止请求优先于普通写入，普通写入优先于低频查询；同一路待发送设定可合并为最新值，已开始的事务必须有明确结束结果。</w:t>
      </w:r>
    </w:p>
    <w:p w14:paraId="02736FD1">
      <w:pPr>
        <w:widowControl/>
        <w:spacing w:after="60"/>
        <w:ind w:firstLine="420"/>
      </w:pPr>
      <w:r>
        <w:rPr>
          <w:color w:val="000000"/>
        </w:rPr>
        <w:t>9600 bps、8N1 下每字节约 1.042 ms。一次 RCFR 请求为 11 字节，按“符号加四位数字”的响应为 18 字节，纯传输约 30.2 ms；六路至少约 181 ms，尚不含从站处理、方向切换和慢速查询。建议响应超时初值 150 ms、帧间余量 5 ms、只读重试最多 1 次，现场测量后统一调整。</w:t>
      </w:r>
    </w:p>
    <w:p w14:paraId="21954812">
      <w:pPr>
        <w:widowControl/>
        <w:spacing w:after="60"/>
        <w:ind w:firstLine="420"/>
      </w:pPr>
      <w:r>
        <w:rPr>
          <w:color w:val="000000"/>
        </w:rPr>
        <w:t>单通道建议连续 3 次事务失败置离线，快速数据超过 3 s 未更新置陈旧；这些是可调联调初值，不是手册保证。离线设备进入低频探测，不能持续阻塞健康通道。在线运行通道失去有效数据时，按整机故障策略停机，不等到无限重试。</w:t>
      </w:r>
    </w:p>
    <w:p w14:paraId="76FA9548">
      <w:pPr>
        <w:widowControl/>
        <w:spacing w:after="60"/>
        <w:ind w:firstLine="420"/>
      </w:pPr>
      <w:r>
        <w:rPr>
          <w:color w:val="000000"/>
        </w:rPr>
        <w:t>写入超时后先回读目标参数再决定是否重发；对 ZERO 不自动重试。超时后清空旧事务并设置恢复窗口，在确认接收空闲后再发新请求。协议没有事务序号，相同地址和命令的迟到响应可能无法区分，必须通过受控串行、清理迟到帧和回读最终值降低歧义。</w:t>
      </w:r>
    </w:p>
    <w:p w14:paraId="063DEB96">
      <w:pPr>
        <w:pStyle w:val="3"/>
      </w:pPr>
      <w:bookmarkStart w:id="18" w:name="_Toc239940995"/>
      <w:r>
        <w:t>六路流量控制与状态管理</w:t>
      </w:r>
      <w:bookmarkEnd w:id="18"/>
    </w:p>
    <w:p w14:paraId="108399DC">
      <w:pPr>
        <w:pStyle w:val="4"/>
      </w:pPr>
      <w:r>
        <w:t>通道数据模型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644"/>
        <w:gridCol w:w="6130"/>
        <w:gridCol w:w="2692"/>
      </w:tblGrid>
      <w:tr w14:paraId="5882E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Align w:val="center"/>
          </w:tcPr>
          <w:p w14:paraId="23B24186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字段组</w:t>
            </w:r>
          </w:p>
        </w:tc>
        <w:tc>
          <w:tcPr>
            <w:tcW w:w="6130" w:type="dxa"/>
            <w:vAlign w:val="center"/>
          </w:tcPr>
          <w:p w14:paraId="088878CA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建议内容</w:t>
            </w:r>
          </w:p>
        </w:tc>
        <w:tc>
          <w:tcPr>
            <w:tcW w:w="2692" w:type="dxa"/>
            <w:vAlign w:val="center"/>
          </w:tcPr>
          <w:p w14:paraId="768E9F51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更新条件</w:t>
            </w:r>
          </w:p>
        </w:tc>
      </w:tr>
      <w:tr w14:paraId="3BA6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644" w:type="dxa"/>
            <w:vAlign w:val="center"/>
          </w:tcPr>
          <w:p w14:paraId="2FF08A95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静态配置</w:t>
            </w:r>
          </w:p>
        </w:tc>
        <w:tc>
          <w:tcPr>
            <w:tcW w:w="6130" w:type="dxa"/>
            <w:vAlign w:val="center"/>
          </w:tcPr>
          <w:p w14:paraId="3A0146E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channel_id、device_id、enabled、gas、full_scale、decimal、unit、reference_temp</w:t>
            </w:r>
          </w:p>
        </w:tc>
        <w:tc>
          <w:tcPr>
            <w:tcW w:w="2692" w:type="dxa"/>
            <w:vAlign w:val="center"/>
          </w:tcPr>
          <w:p w14:paraId="5E09DE6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初始化读回；与持久配置校验后才可就绪</w:t>
            </w:r>
          </w:p>
        </w:tc>
      </w:tr>
      <w:tr w14:paraId="65FC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644" w:type="dxa"/>
            <w:vAlign w:val="center"/>
          </w:tcPr>
          <w:p w14:paraId="7903A2E8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运行数据</w:t>
            </w:r>
          </w:p>
        </w:tc>
        <w:tc>
          <w:tcPr>
            <w:tcW w:w="6130" w:type="dxa"/>
            <w:vAlign w:val="center"/>
          </w:tcPr>
          <w:p w14:paraId="1B8D948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actual_flow、requested_setpoint、confirmed_setpoint、vss、cvs、alarm_bits</w:t>
            </w:r>
          </w:p>
        </w:tc>
        <w:tc>
          <w:tcPr>
            <w:tcW w:w="2692" w:type="dxa"/>
            <w:vAlign w:val="center"/>
          </w:tcPr>
          <w:p w14:paraId="21877E1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匹配的有效响应</w:t>
            </w:r>
          </w:p>
        </w:tc>
      </w:tr>
      <w:tr w14:paraId="32DC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644" w:type="dxa"/>
            <w:vAlign w:val="center"/>
          </w:tcPr>
          <w:p w14:paraId="19DD5CD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数据质量</w:t>
            </w:r>
          </w:p>
        </w:tc>
        <w:tc>
          <w:tcPr>
            <w:tcW w:w="6130" w:type="dxa"/>
            <w:vAlign w:val="center"/>
          </w:tcPr>
          <w:p w14:paraId="5C3F524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valid、last_rx_tick、error_count、last_error、transaction_state</w:t>
            </w:r>
          </w:p>
        </w:tc>
        <w:tc>
          <w:tcPr>
            <w:tcW w:w="2692" w:type="dxa"/>
            <w:vAlign w:val="center"/>
          </w:tcPr>
          <w:p w14:paraId="0443A9F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每次接收或超时；旧值保留但显式标记无效</w:t>
            </w:r>
          </w:p>
        </w:tc>
      </w:tr>
      <w:tr w14:paraId="3ED3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644" w:type="dxa"/>
            <w:vAlign w:val="center"/>
          </w:tcPr>
          <w:p w14:paraId="617B1B1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控制状态</w:t>
            </w:r>
          </w:p>
        </w:tc>
        <w:tc>
          <w:tcPr>
            <w:tcW w:w="6130" w:type="dxa"/>
            <w:vAlign w:val="center"/>
          </w:tcPr>
          <w:p w14:paraId="4ACC072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DISABLED、INIT、WARMUP、READY、STARTING、RUNNING、STOPPING、FAULT</w:t>
            </w:r>
          </w:p>
        </w:tc>
        <w:tc>
          <w:tcPr>
            <w:tcW w:w="2692" w:type="dxa"/>
            <w:vAlign w:val="center"/>
          </w:tcPr>
          <w:p w14:paraId="103AE79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由通道状态机统一变更</w:t>
            </w:r>
          </w:p>
        </w:tc>
      </w:tr>
    </w:tbl>
    <w:p w14:paraId="4D506216">
      <w:pPr>
        <w:spacing w:line="60" w:lineRule="exact"/>
      </w:pPr>
    </w:p>
    <w:p w14:paraId="1FCFD57D">
      <w:pPr>
        <w:widowControl/>
        <w:spacing w:after="60"/>
        <w:ind w:firstLine="420"/>
      </w:pPr>
      <w:r>
        <w:rPr>
          <w:color w:val="000000"/>
        </w:rPr>
        <w:t>每个通道由相同代码实例化，禁止复制六份业务函数。采样时间使用单调时钟；多个通道的流量并非同一时刻采集。只有单位与基准条件一致、参与通道数据均有效时才计算总流量和比例，同时报告各通道数据年龄。</w:t>
      </w:r>
    </w:p>
    <w:p w14:paraId="033DDAAE">
      <w:pPr>
        <w:pStyle w:val="4"/>
      </w:pPr>
      <w:r>
        <w:t>启动与停止</w:t>
      </w:r>
    </w:p>
    <w:p w14:paraId="76FAF683">
      <w:pPr>
        <w:widowControl/>
        <w:spacing w:after="60"/>
        <w:ind w:firstLine="420"/>
      </w:pPr>
      <w:r>
        <w:rPr>
          <w:color w:val="000000"/>
        </w:rPr>
        <w:t>启动前确认参与通道已启用、气体和量程匹配、预热完成、无锁定故障、手动许可有效、下游通路已按工艺批准。保持 V1 至 V6 关闭，逐台确认 WFSM=0、WVSS=2；写入目标 WSFD 并回读 RSFD，再建立 V7/V9 通路且保持 V8 关闭，依次切到 WVSS=1 并开启参与支路。任一步失败进入停止流程，不宣布启动成功。</w:t>
      </w:r>
    </w:p>
    <w:p w14:paraId="14CFED5D">
      <w:pPr>
        <w:widowControl/>
        <w:spacing w:after="60"/>
        <w:ind w:firstLine="420"/>
      </w:pPr>
      <w:r>
        <w:rPr>
          <w:color w:val="000000"/>
        </w:rPr>
        <w:t>以上为建议顺序，最终开阀先后和等待时间应依据压差及阀门机械响应确认。多个通道无法在单总线上实现严格同步写入，启动阶段存在时间差；若工艺要求无过渡配比误差，应增加受控旁路或硬件同步机制，不能用“批量写成功”代替同时生效。</w:t>
      </w:r>
    </w:p>
    <w:p w14:paraId="07D1D73D">
      <w:pPr>
        <w:widowControl/>
        <w:spacing w:after="60"/>
        <w:ind w:firstLine="420"/>
      </w:pPr>
      <w:r>
        <w:rPr>
          <w:color w:val="000000"/>
        </w:rPr>
        <w:t>正常停止先关闭参与支路的外部阀，同时排队发送 WVSS=2 和 WSFD=0000，按工艺确认的延时关闭 V7、V9，V8 保持关闭。故障停止立即撤销外部开阀输出，再尽力关闭所有 MFC；通讯不可用时仍必须完成外部关断。停止不自动执行排空，是否泄压及对应路径由工艺单独定义。</w:t>
      </w:r>
    </w:p>
    <w:p w14:paraId="183AF975">
      <w:pPr>
        <w:pStyle w:val="4"/>
      </w:pPr>
      <w:r>
        <w:t>运行与恢复</w:t>
      </w:r>
    </w:p>
    <w:p w14:paraId="2980BD1F">
      <w:pPr>
        <w:widowControl/>
        <w:spacing w:after="60"/>
        <w:ind w:firstLine="420"/>
      </w:pPr>
      <w:r>
        <w:rPr>
          <w:color w:val="000000"/>
        </w:rPr>
        <w:t>RUNNING 周期检测设定回读、实际流量、内部阀状态及报警。流量偏差判定可采用 |Q实际−Q设定| &gt; max(绝对阈值，相对阈值×Q设定) 并持续指定时间；启动、改设定及通路切换后的稳定等待单独计时，不能将仪表正常响应过程误判为故障。阈值、持续时间和稳定等待在实机上标定后冻结。</w:t>
      </w:r>
    </w:p>
    <w:p w14:paraId="4AE409E8">
      <w:pPr>
        <w:widowControl/>
        <w:spacing w:after="60"/>
        <w:ind w:firstLine="420"/>
      </w:pPr>
      <w:r>
        <w:rPr>
          <w:color w:val="000000"/>
        </w:rPr>
        <w:t>初版建议运行中任何参与通道发生严重故障即停止整套混气，避免剩余气路改变配比；未参与且已停用通道离线只提示。故障解除后重新读取设备参数、确认全关和零设定，进入 READY；必须收到新的启动请求，禁止自动恢复上次非零设定。</w:t>
      </w:r>
    </w:p>
    <w:p w14:paraId="295CD33D">
      <w:pPr>
        <w:pStyle w:val="3"/>
      </w:pPr>
      <w:bookmarkStart w:id="19" w:name="_Toc239940996"/>
      <w:r>
        <w:t>电磁阀与气路联锁模块</w:t>
      </w:r>
      <w:bookmarkEnd w:id="19"/>
    </w:p>
    <w:p w14:paraId="69208959">
      <w:pPr>
        <w:pStyle w:val="4"/>
      </w:pPr>
      <w:r>
        <w:t>阀门与 GPIO 映射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2990"/>
        <w:gridCol w:w="1794"/>
        <w:gridCol w:w="4186"/>
        <w:gridCol w:w="1496"/>
      </w:tblGrid>
      <w:tr w14:paraId="745A4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2990" w:type="dxa"/>
            <w:vAlign w:val="center"/>
          </w:tcPr>
          <w:p w14:paraId="20421265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阀号与用途</w:t>
            </w:r>
          </w:p>
        </w:tc>
        <w:tc>
          <w:tcPr>
            <w:tcW w:w="1794" w:type="dxa"/>
            <w:vAlign w:val="center"/>
          </w:tcPr>
          <w:p w14:paraId="21C87839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板端网络</w:t>
            </w:r>
          </w:p>
        </w:tc>
        <w:tc>
          <w:tcPr>
            <w:tcW w:w="4186" w:type="dxa"/>
            <w:vAlign w:val="center"/>
          </w:tcPr>
          <w:p w14:paraId="22B8D9C8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MCU 引脚</w:t>
            </w:r>
          </w:p>
        </w:tc>
        <w:tc>
          <w:tcPr>
            <w:tcW w:w="1496" w:type="dxa"/>
            <w:vAlign w:val="center"/>
          </w:tcPr>
          <w:p w14:paraId="2887948A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电源组</w:t>
            </w:r>
          </w:p>
        </w:tc>
      </w:tr>
      <w:tr w14:paraId="6EA2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462A2C4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V1 H2 支路</w:t>
            </w:r>
          </w:p>
        </w:tc>
        <w:tc>
          <w:tcPr>
            <w:tcW w:w="1794" w:type="dxa"/>
            <w:vAlign w:val="center"/>
          </w:tcPr>
          <w:p w14:paraId="5AF075C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VAL1</w:t>
            </w:r>
          </w:p>
        </w:tc>
        <w:tc>
          <w:tcPr>
            <w:tcW w:w="4186" w:type="dxa"/>
            <w:vAlign w:val="center"/>
          </w:tcPr>
          <w:p w14:paraId="55E34E0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P003 pin61</w:t>
            </w:r>
          </w:p>
        </w:tc>
        <w:tc>
          <w:tcPr>
            <w:tcW w:w="1496" w:type="dxa"/>
            <w:vAlign w:val="center"/>
          </w:tcPr>
          <w:p w14:paraId="0C352A4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</w:p>
        </w:tc>
      </w:tr>
      <w:tr w14:paraId="2CF4A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71C3364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V2 CH4 支路</w:t>
            </w:r>
          </w:p>
        </w:tc>
        <w:tc>
          <w:tcPr>
            <w:tcW w:w="1794" w:type="dxa"/>
            <w:vAlign w:val="center"/>
          </w:tcPr>
          <w:p w14:paraId="6906288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VAL2</w:t>
            </w:r>
          </w:p>
        </w:tc>
        <w:tc>
          <w:tcPr>
            <w:tcW w:w="4186" w:type="dxa"/>
            <w:vAlign w:val="center"/>
          </w:tcPr>
          <w:p w14:paraId="2C4D515B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P001 pin63</w:t>
            </w:r>
          </w:p>
        </w:tc>
        <w:tc>
          <w:tcPr>
            <w:tcW w:w="1496" w:type="dxa"/>
            <w:vAlign w:val="center"/>
          </w:tcPr>
          <w:p w14:paraId="2D36DE2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</w:p>
        </w:tc>
      </w:tr>
      <w:tr w14:paraId="04FE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400C0FA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V3 N2 支路</w:t>
            </w:r>
          </w:p>
        </w:tc>
        <w:tc>
          <w:tcPr>
            <w:tcW w:w="1794" w:type="dxa"/>
            <w:vAlign w:val="center"/>
          </w:tcPr>
          <w:p w14:paraId="29C04D4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VAL3</w:t>
            </w:r>
          </w:p>
        </w:tc>
        <w:tc>
          <w:tcPr>
            <w:tcW w:w="4186" w:type="dxa"/>
            <w:vAlign w:val="center"/>
          </w:tcPr>
          <w:p w14:paraId="5160B88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P002 pin62</w:t>
            </w:r>
          </w:p>
        </w:tc>
        <w:tc>
          <w:tcPr>
            <w:tcW w:w="1496" w:type="dxa"/>
            <w:vAlign w:val="center"/>
          </w:tcPr>
          <w:p w14:paraId="06945EA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</w:p>
        </w:tc>
      </w:tr>
      <w:tr w14:paraId="7F351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42024A5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V4 O2 支路</w:t>
            </w:r>
          </w:p>
        </w:tc>
        <w:tc>
          <w:tcPr>
            <w:tcW w:w="1794" w:type="dxa"/>
            <w:vAlign w:val="center"/>
          </w:tcPr>
          <w:p w14:paraId="6CEAFFD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VAL4</w:t>
            </w:r>
          </w:p>
        </w:tc>
        <w:tc>
          <w:tcPr>
            <w:tcW w:w="4186" w:type="dxa"/>
            <w:vAlign w:val="center"/>
          </w:tcPr>
          <w:p w14:paraId="0E64B35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P400 pin1</w:t>
            </w:r>
          </w:p>
        </w:tc>
        <w:tc>
          <w:tcPr>
            <w:tcW w:w="1496" w:type="dxa"/>
            <w:vAlign w:val="center"/>
          </w:tcPr>
          <w:p w14:paraId="4840F64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VAL/P2</w:t>
            </w:r>
          </w:p>
        </w:tc>
      </w:tr>
      <w:tr w14:paraId="17FB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3266251C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V5 CO2 支路</w:t>
            </w:r>
          </w:p>
        </w:tc>
        <w:tc>
          <w:tcPr>
            <w:tcW w:w="1794" w:type="dxa"/>
            <w:vAlign w:val="center"/>
          </w:tcPr>
          <w:p w14:paraId="13AA5FF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VAL5</w:t>
            </w:r>
          </w:p>
        </w:tc>
        <w:tc>
          <w:tcPr>
            <w:tcW w:w="4186" w:type="dxa"/>
            <w:vAlign w:val="center"/>
          </w:tcPr>
          <w:p w14:paraId="0A2F5FF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P402 pin3</w:t>
            </w:r>
          </w:p>
        </w:tc>
        <w:tc>
          <w:tcPr>
            <w:tcW w:w="1496" w:type="dxa"/>
            <w:vAlign w:val="center"/>
          </w:tcPr>
          <w:p w14:paraId="56806DA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VAL/P2</w:t>
            </w:r>
          </w:p>
        </w:tc>
      </w:tr>
      <w:tr w14:paraId="0BFCA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24EA27FB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V6 备用支路</w:t>
            </w:r>
          </w:p>
        </w:tc>
        <w:tc>
          <w:tcPr>
            <w:tcW w:w="1794" w:type="dxa"/>
            <w:vAlign w:val="center"/>
          </w:tcPr>
          <w:p w14:paraId="460C7D1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VAL6</w:t>
            </w:r>
          </w:p>
        </w:tc>
        <w:tc>
          <w:tcPr>
            <w:tcW w:w="4186" w:type="dxa"/>
            <w:vAlign w:val="center"/>
          </w:tcPr>
          <w:p w14:paraId="6827719B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P401 pin2</w:t>
            </w:r>
          </w:p>
        </w:tc>
        <w:tc>
          <w:tcPr>
            <w:tcW w:w="1496" w:type="dxa"/>
            <w:vAlign w:val="center"/>
          </w:tcPr>
          <w:p w14:paraId="4C3E457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VAL/P2</w:t>
            </w:r>
          </w:p>
        </w:tc>
      </w:tr>
      <w:tr w14:paraId="36279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75D63EA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V7 正常输出通路</w:t>
            </w:r>
          </w:p>
        </w:tc>
        <w:tc>
          <w:tcPr>
            <w:tcW w:w="1794" w:type="dxa"/>
            <w:vAlign w:val="center"/>
          </w:tcPr>
          <w:p w14:paraId="372F83A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VAL7</w:t>
            </w:r>
          </w:p>
        </w:tc>
        <w:tc>
          <w:tcPr>
            <w:tcW w:w="4186" w:type="dxa"/>
            <w:vAlign w:val="center"/>
          </w:tcPr>
          <w:p w14:paraId="34DBAEC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P410 pin13</w:t>
            </w:r>
          </w:p>
        </w:tc>
        <w:tc>
          <w:tcPr>
            <w:tcW w:w="1496" w:type="dxa"/>
            <w:vAlign w:val="center"/>
          </w:tcPr>
          <w:p w14:paraId="6ACC2EA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VAL/P3</w:t>
            </w:r>
          </w:p>
        </w:tc>
      </w:tr>
      <w:tr w14:paraId="30B9E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28428B82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V8 排空或测试入口</w:t>
            </w:r>
          </w:p>
        </w:tc>
        <w:tc>
          <w:tcPr>
            <w:tcW w:w="1794" w:type="dxa"/>
            <w:vAlign w:val="center"/>
          </w:tcPr>
          <w:p w14:paraId="1BEEC08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VAL8</w:t>
            </w:r>
          </w:p>
        </w:tc>
        <w:tc>
          <w:tcPr>
            <w:tcW w:w="4186" w:type="dxa"/>
            <w:vAlign w:val="center"/>
          </w:tcPr>
          <w:p w14:paraId="315C239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P411 pin12</w:t>
            </w:r>
          </w:p>
        </w:tc>
        <w:tc>
          <w:tcPr>
            <w:tcW w:w="1496" w:type="dxa"/>
            <w:vAlign w:val="center"/>
          </w:tcPr>
          <w:p w14:paraId="36CEA5C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VAL/P3</w:t>
            </w:r>
          </w:p>
        </w:tc>
      </w:tr>
      <w:tr w14:paraId="745F3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6646B444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V9 公共辅助通路</w:t>
            </w:r>
          </w:p>
        </w:tc>
        <w:tc>
          <w:tcPr>
            <w:tcW w:w="1794" w:type="dxa"/>
            <w:vAlign w:val="center"/>
          </w:tcPr>
          <w:p w14:paraId="417E8E2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VAL9</w:t>
            </w:r>
          </w:p>
        </w:tc>
        <w:tc>
          <w:tcPr>
            <w:tcW w:w="4186" w:type="dxa"/>
            <w:vAlign w:val="center"/>
          </w:tcPr>
          <w:p w14:paraId="2F20A59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P408 pin15</w:t>
            </w:r>
          </w:p>
        </w:tc>
        <w:tc>
          <w:tcPr>
            <w:tcW w:w="1496" w:type="dxa"/>
            <w:vAlign w:val="center"/>
          </w:tcPr>
          <w:p w14:paraId="127D84E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VAL/P3</w:t>
            </w:r>
          </w:p>
        </w:tc>
      </w:tr>
      <w:tr w14:paraId="3F08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990" w:type="dxa"/>
            <w:vAlign w:val="center"/>
          </w:tcPr>
          <w:p w14:paraId="030980E6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分组电源选择</w:t>
            </w:r>
          </w:p>
        </w:tc>
        <w:tc>
          <w:tcPr>
            <w:tcW w:w="1794" w:type="dxa"/>
            <w:vAlign w:val="center"/>
          </w:tcPr>
          <w:p w14:paraId="1EA2AA4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VAL/P1、VAL/P2、VAL/P3</w:t>
            </w:r>
          </w:p>
        </w:tc>
        <w:tc>
          <w:tcPr>
            <w:tcW w:w="4186" w:type="dxa"/>
            <w:vAlign w:val="center"/>
          </w:tcPr>
          <w:p w14:paraId="616B64D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P004 pin60、P000 pin64、P409 pin14</w:t>
            </w:r>
          </w:p>
        </w:tc>
        <w:tc>
          <w:tcPr>
            <w:tcW w:w="1496" w:type="dxa"/>
            <w:vAlign w:val="center"/>
          </w:tcPr>
          <w:p w14:paraId="7009B24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每组三个阀</w:t>
            </w:r>
          </w:p>
        </w:tc>
      </w:tr>
    </w:tbl>
    <w:p w14:paraId="371ABB0C">
      <w:pPr>
        <w:spacing w:line="60" w:lineRule="exact"/>
      </w:pPr>
    </w:p>
    <w:p w14:paraId="17869C78">
      <w:pPr>
        <w:widowControl/>
        <w:spacing w:after="60"/>
        <w:ind w:firstLine="420"/>
      </w:pPr>
      <w:r>
        <w:rPr>
          <w:color w:val="000000"/>
        </w:rPr>
        <w:t>GPIO 网络和引脚来自 S4 第 2 页；阀号用途按 S3 对应，实际装配仍需逐路通断验证。驱动链为 MCU、2N7002 前级、光耦及后级功率器件。软件提供逻辑 OPEN/CLOSE，GPIO 有效极性、上电默认态及线圈失电状态由硬件确认后写入 BSP，不把逻辑“关”直接假定为任意电平。</w:t>
      </w:r>
    </w:p>
    <w:p w14:paraId="222D6AA8">
      <w:pPr>
        <w:pStyle w:val="4"/>
      </w:pPr>
      <w:r>
        <w:t>正常模式与维护模式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2691"/>
        <w:gridCol w:w="3438"/>
        <w:gridCol w:w="1420"/>
        <w:gridCol w:w="1420"/>
        <w:gridCol w:w="1497"/>
      </w:tblGrid>
      <w:tr w14:paraId="0575A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2691" w:type="dxa"/>
            <w:vAlign w:val="center"/>
          </w:tcPr>
          <w:p w14:paraId="43617850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模式</w:t>
            </w:r>
          </w:p>
        </w:tc>
        <w:tc>
          <w:tcPr>
            <w:tcW w:w="3438" w:type="dxa"/>
            <w:vAlign w:val="center"/>
          </w:tcPr>
          <w:p w14:paraId="0D516145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V1 至 V6</w:t>
            </w:r>
          </w:p>
        </w:tc>
        <w:tc>
          <w:tcPr>
            <w:tcW w:w="1420" w:type="dxa"/>
            <w:vAlign w:val="center"/>
          </w:tcPr>
          <w:p w14:paraId="060D3D22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V7</w:t>
            </w:r>
          </w:p>
        </w:tc>
        <w:tc>
          <w:tcPr>
            <w:tcW w:w="1420" w:type="dxa"/>
            <w:vAlign w:val="center"/>
          </w:tcPr>
          <w:p w14:paraId="44EEE325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V8</w:t>
            </w:r>
          </w:p>
        </w:tc>
        <w:tc>
          <w:tcPr>
            <w:tcW w:w="1497" w:type="dxa"/>
            <w:vAlign w:val="center"/>
          </w:tcPr>
          <w:p w14:paraId="1B8CD936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V9</w:t>
            </w:r>
          </w:p>
        </w:tc>
      </w:tr>
      <w:tr w14:paraId="3AF5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691" w:type="dxa"/>
            <w:vAlign w:val="center"/>
          </w:tcPr>
          <w:p w14:paraId="0E7FB3E4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待机或故障关断</w:t>
            </w:r>
          </w:p>
        </w:tc>
        <w:tc>
          <w:tcPr>
            <w:tcW w:w="3438" w:type="dxa"/>
            <w:vAlign w:val="center"/>
          </w:tcPr>
          <w:p w14:paraId="5424F0B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全部关闭</w:t>
            </w:r>
          </w:p>
        </w:tc>
        <w:tc>
          <w:tcPr>
            <w:tcW w:w="1420" w:type="dxa"/>
            <w:vAlign w:val="center"/>
          </w:tcPr>
          <w:p w14:paraId="28329F5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20" w:type="dxa"/>
            <w:vAlign w:val="center"/>
          </w:tcPr>
          <w:p w14:paraId="39180C7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97" w:type="dxa"/>
            <w:vAlign w:val="center"/>
          </w:tcPr>
          <w:p w14:paraId="6AA444F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</w:tr>
      <w:tr w14:paraId="7C50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691" w:type="dxa"/>
            <w:vAlign w:val="center"/>
          </w:tcPr>
          <w:p w14:paraId="01A5400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正常输出</w:t>
            </w:r>
          </w:p>
        </w:tc>
        <w:tc>
          <w:tcPr>
            <w:tcW w:w="3438" w:type="dxa"/>
            <w:vAlign w:val="center"/>
          </w:tcPr>
          <w:p w14:paraId="3B94E45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按许可开启参与通道</w:t>
            </w:r>
          </w:p>
        </w:tc>
        <w:tc>
          <w:tcPr>
            <w:tcW w:w="1420" w:type="dxa"/>
            <w:vAlign w:val="center"/>
          </w:tcPr>
          <w:p w14:paraId="5A08BB1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20" w:type="dxa"/>
            <w:vAlign w:val="center"/>
          </w:tcPr>
          <w:p w14:paraId="1BFF473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97" w:type="dxa"/>
            <w:vAlign w:val="center"/>
          </w:tcPr>
          <w:p w14:paraId="2B5BD03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</w:tr>
      <w:tr w14:paraId="1DE9E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691" w:type="dxa"/>
            <w:vAlign w:val="center"/>
          </w:tcPr>
          <w:p w14:paraId="37E618DF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排空或外部校准气体</w:t>
            </w:r>
          </w:p>
        </w:tc>
        <w:tc>
          <w:tcPr>
            <w:tcW w:w="3438" w:type="dxa"/>
            <w:vAlign w:val="center"/>
          </w:tcPr>
          <w:p w14:paraId="1155077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关闭，MFC 设定归零</w:t>
            </w:r>
          </w:p>
        </w:tc>
        <w:tc>
          <w:tcPr>
            <w:tcW w:w="1420" w:type="dxa"/>
            <w:vAlign w:val="center"/>
          </w:tcPr>
          <w:p w14:paraId="060D368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20" w:type="dxa"/>
            <w:vAlign w:val="center"/>
          </w:tcPr>
          <w:p w14:paraId="43F0C28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97" w:type="dxa"/>
            <w:vAlign w:val="center"/>
          </w:tcPr>
          <w:p w14:paraId="0662F8A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</w:tr>
      <w:tr w14:paraId="5A702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691" w:type="dxa"/>
            <w:vAlign w:val="center"/>
          </w:tcPr>
          <w:p w14:paraId="319F3F8A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维护点动</w:t>
            </w:r>
          </w:p>
        </w:tc>
        <w:tc>
          <w:tcPr>
            <w:tcW w:w="3438" w:type="dxa"/>
            <w:vAlign w:val="center"/>
          </w:tcPr>
          <w:p w14:paraId="45556F7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经维护许可逐个测试</w:t>
            </w:r>
          </w:p>
        </w:tc>
        <w:tc>
          <w:tcPr>
            <w:tcW w:w="1420" w:type="dxa"/>
            <w:vAlign w:val="center"/>
          </w:tcPr>
          <w:p w14:paraId="79A21C5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点动</w:t>
            </w:r>
          </w:p>
        </w:tc>
        <w:tc>
          <w:tcPr>
            <w:tcW w:w="1420" w:type="dxa"/>
            <w:vAlign w:val="center"/>
          </w:tcPr>
          <w:p w14:paraId="5B2730D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点动</w:t>
            </w:r>
          </w:p>
        </w:tc>
        <w:tc>
          <w:tcPr>
            <w:tcW w:w="1497" w:type="dxa"/>
            <w:vAlign w:val="center"/>
          </w:tcPr>
          <w:p w14:paraId="0988A6B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点动</w:t>
            </w:r>
          </w:p>
        </w:tc>
      </w:tr>
    </w:tbl>
    <w:p w14:paraId="1C7AF1CE">
      <w:pPr>
        <w:spacing w:line="60" w:lineRule="exact"/>
      </w:pPr>
    </w:p>
    <w:p w14:paraId="339B2409">
      <w:pPr>
        <w:widowControl/>
        <w:spacing w:after="60"/>
        <w:ind w:firstLine="420"/>
      </w:pPr>
      <w:r>
        <w:rPr>
          <w:color w:val="000000"/>
        </w:rPr>
        <w:t>正常输出和排空行依据气路图文字说明：正常需 V7、V9 开且 V8 关；排空或校准时 V7、V9 关且 V8 开。S3 中 V9 的末端去向未标注完整，排空口兼作校准气体入口，因此实际排放方向、外部接入条件和 V9 下游设备应由气路负责人确认后启用对应流程。</w:t>
      </w:r>
    </w:p>
    <w:p w14:paraId="61C22996">
      <w:pPr>
        <w:widowControl/>
        <w:spacing w:after="60"/>
        <w:ind w:firstLine="420"/>
      </w:pPr>
      <w:r>
        <w:rPr>
          <w:color w:val="000000"/>
        </w:rPr>
        <w:t>维护模式允许逐个测试九个外部阀，建议同一时刻仅一个维护点动请求有效；进入维护前整机停机。退出维护、点动超时或许可撤销时关闭输出。维护点动并不允许绕过急停或执行未经许可的危险气路组合。点动最大时间为待确认参数。</w:t>
      </w:r>
    </w:p>
    <w:p w14:paraId="70C241CC">
      <w:pPr>
        <w:widowControl/>
        <w:spacing w:after="60"/>
        <w:ind w:firstLine="420"/>
      </w:pPr>
      <w:r>
        <w:rPr>
          <w:color w:val="000000"/>
        </w:rPr>
        <w:t>气路图要求手动开关优先，软件开阀必须先取得对应手动开启许可；软件关闭和保护关断仍可随时执行。硬件许可、急停或联锁禁止 &gt; 手动关闭 &gt; 故障关断 &gt; 软件开启。若机械按钮未接入 MCU 或能直接机械强开，软件不能保证覆盖其动作，界面只能显示输出命令和“实际阀位未确认”，需在硬件方案中处理此边界。[S3]</w:t>
      </w:r>
    </w:p>
    <w:p w14:paraId="676314EF">
      <w:pPr>
        <w:pStyle w:val="4"/>
      </w:pPr>
      <w:r>
        <w:t>分组电源与切换时序</w:t>
      </w:r>
    </w:p>
    <w:p w14:paraId="5F270F55">
      <w:pPr>
        <w:widowControl/>
        <w:spacing w:after="60"/>
        <w:ind w:firstLine="420"/>
      </w:pPr>
      <w:r>
        <w:rPr>
          <w:color w:val="000000"/>
        </w:rPr>
        <w:t>原理图存在 12 V 吸合与约 5 V 保持的分组供电路径，每组三阀共享 VAL/Px。软件应为每组设置吸合计时器：任一阀新开触发该组吸合电压，在确认的吸合时长结束后转保持电压；同组再次开阀时重启或延长组计时，不能被另一通道提前降压。具体电平对应、电压和最长吸合时间由硬件与阀厂确认。[S4 第 2、3 页]</w:t>
      </w:r>
    </w:p>
    <w:p w14:paraId="7884090A">
      <w:pPr>
        <w:widowControl/>
        <w:spacing w:after="60"/>
        <w:ind w:firstLine="420"/>
      </w:pPr>
      <w:r>
        <w:rPr>
          <w:color w:val="000000"/>
        </w:rPr>
        <w:t>正常通路与排空通路切换采用先关后开：归零并隔离进气 → 关闭旧通路 → 等待关断时间 → 验证允许条件 → 开启新通路。禁止用未经确认的固定秒数声明阀门已到位；无反馈时只能依据经验证的最坏动作时间进行开环等待，并显式保留无阀位反馈的限制。</w:t>
      </w:r>
    </w:p>
    <w:p w14:paraId="7C5BCAAD">
      <w:pPr>
        <w:pStyle w:val="3"/>
      </w:pPr>
      <w:bookmarkStart w:id="20" w:name="_Toc239940997"/>
      <w:r>
        <w:t>上位机与人机交互模块</w:t>
      </w:r>
      <w:bookmarkEnd w:id="20"/>
    </w:p>
    <w:p w14:paraId="687B4D66">
      <w:pPr>
        <w:widowControl/>
        <w:spacing w:after="60"/>
        <w:ind w:firstLine="420"/>
      </w:pPr>
      <w:r>
        <w:rPr>
          <w:color w:val="000000"/>
        </w:rPr>
        <w:t>原理图包含独立外部接口和可选 CAN 路径，本阶段只定义业务接口，不固化未经提供的上位机帧格式、波特率或显示屏型号。若采用 Modbus RTU 作为上行协议，应另行制定寄存器表；下行 EX201 ASCII 协议保持独立。厂家 Configuration_app 仅用于维护单机验证，使用时 MCU 应释放 MFC 总线，避免两个主站同时发送。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943"/>
        <w:gridCol w:w="5457"/>
        <w:gridCol w:w="3066"/>
      </w:tblGrid>
      <w:tr w14:paraId="1B67E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943" w:type="dxa"/>
            <w:vAlign w:val="center"/>
          </w:tcPr>
          <w:p w14:paraId="5D553A50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业务接口</w:t>
            </w:r>
          </w:p>
        </w:tc>
        <w:tc>
          <w:tcPr>
            <w:tcW w:w="5457" w:type="dxa"/>
            <w:vAlign w:val="center"/>
          </w:tcPr>
          <w:p w14:paraId="29AAFD5C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主要请求或返回</w:t>
            </w:r>
          </w:p>
        </w:tc>
        <w:tc>
          <w:tcPr>
            <w:tcW w:w="3066" w:type="dxa"/>
            <w:vAlign w:val="center"/>
          </w:tcPr>
          <w:p w14:paraId="1FC67449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执行要求</w:t>
            </w:r>
          </w:p>
        </w:tc>
      </w:tr>
      <w:tr w14:paraId="6FE36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7B3EC77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读取快照</w:t>
            </w:r>
          </w:p>
        </w:tc>
        <w:tc>
          <w:tcPr>
            <w:tcW w:w="5457" w:type="dxa"/>
            <w:vAlign w:val="center"/>
          </w:tcPr>
          <w:p w14:paraId="3277100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六路流量、设定、单位、基准温度、有效性、阀状态、报警与数据年龄</w:t>
            </w:r>
          </w:p>
        </w:tc>
        <w:tc>
          <w:tcPr>
            <w:tcW w:w="3066" w:type="dxa"/>
            <w:vAlign w:val="center"/>
          </w:tcPr>
          <w:p w14:paraId="1CAE905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读取缓存，避免上位机重复触发总线拥堵</w:t>
            </w:r>
          </w:p>
        </w:tc>
      </w:tr>
      <w:tr w14:paraId="5500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010BF95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设置流量</w:t>
            </w:r>
          </w:p>
        </w:tc>
        <w:tc>
          <w:tcPr>
            <w:tcW w:w="5457" w:type="dxa"/>
            <w:vAlign w:val="center"/>
          </w:tcPr>
          <w:p w14:paraId="436A349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请求号、通道号、目标值、单位；返回待执行或拒绝原因</w:t>
            </w:r>
          </w:p>
        </w:tc>
        <w:tc>
          <w:tcPr>
            <w:tcW w:w="3066" w:type="dxa"/>
            <w:vAlign w:val="center"/>
          </w:tcPr>
          <w:p w14:paraId="5C70232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最终成功必须等待回读匹配</w:t>
            </w:r>
          </w:p>
        </w:tc>
      </w:tr>
      <w:tr w14:paraId="2679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0DD345C5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启动与停止</w:t>
            </w:r>
          </w:p>
        </w:tc>
        <w:tc>
          <w:tcPr>
            <w:tcW w:w="5457" w:type="dxa"/>
            <w:vAlign w:val="center"/>
          </w:tcPr>
          <w:p w14:paraId="7D285D2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运行配方或通道掩码；停止请求</w:t>
            </w:r>
          </w:p>
        </w:tc>
        <w:tc>
          <w:tcPr>
            <w:tcW w:w="3066" w:type="dxa"/>
            <w:vAlign w:val="center"/>
          </w:tcPr>
          <w:p w14:paraId="108A58B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应用层验证后执行；重复停止应保持幂等</w:t>
            </w:r>
          </w:p>
        </w:tc>
      </w:tr>
      <w:tr w14:paraId="7CEE7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15E70965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模式与维护</w:t>
            </w:r>
          </w:p>
        </w:tc>
        <w:tc>
          <w:tcPr>
            <w:tcW w:w="5457" w:type="dxa"/>
            <w:vAlign w:val="center"/>
          </w:tcPr>
          <w:p w14:paraId="5B601FA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正常、维护、点动、调零和参数查看</w:t>
            </w:r>
          </w:p>
        </w:tc>
        <w:tc>
          <w:tcPr>
            <w:tcW w:w="3066" w:type="dxa"/>
            <w:vAlign w:val="center"/>
          </w:tcPr>
          <w:p w14:paraId="11AB8A8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维护命令有权限、过程前提和审计记录</w:t>
            </w:r>
          </w:p>
        </w:tc>
      </w:tr>
      <w:tr w14:paraId="687CA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629B279B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报警确认</w:t>
            </w:r>
          </w:p>
        </w:tc>
        <w:tc>
          <w:tcPr>
            <w:tcW w:w="5457" w:type="dxa"/>
            <w:vAlign w:val="center"/>
          </w:tcPr>
          <w:p w14:paraId="754B43F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报警编号和确认来源</w:t>
            </w:r>
          </w:p>
        </w:tc>
        <w:tc>
          <w:tcPr>
            <w:tcW w:w="3066" w:type="dxa"/>
            <w:vAlign w:val="center"/>
          </w:tcPr>
          <w:p w14:paraId="637A5E3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确认只清提示，不直接清除根因或恢复运行</w:t>
            </w:r>
          </w:p>
        </w:tc>
      </w:tr>
    </w:tbl>
    <w:p w14:paraId="1166F410">
      <w:pPr>
        <w:spacing w:line="60" w:lineRule="exact"/>
      </w:pPr>
    </w:p>
    <w:p w14:paraId="35ADD21F">
      <w:pPr>
        <w:widowControl/>
        <w:spacing w:after="60"/>
        <w:ind w:firstLine="420"/>
      </w:pPr>
      <w:r>
        <w:rPr>
          <w:color w:val="000000"/>
        </w:rPr>
        <w:t>建议界面总览显示六路气体、实际流量、目标与已确认流量、满量程、通讯状态、设备报警和外部阀输出命令；失效数据显示“无效/通讯异常”并保留最后更新时间。内部阀实际状态和外部阀输出命令分别显示，不能混为“阀门已打开”。远程控制断连后的运行策略待确认，首版建议远程会话超时转受控停止。</w:t>
      </w:r>
    </w:p>
    <w:p w14:paraId="6862AD9A">
      <w:pPr>
        <w:pStyle w:val="3"/>
      </w:pPr>
      <w:bookmarkStart w:id="21" w:name="_Toc239940998"/>
      <w:r>
        <w:t>参数存储与运行调度模块</w:t>
      </w:r>
      <w:bookmarkEnd w:id="21"/>
    </w:p>
    <w:p w14:paraId="2CAACB95">
      <w:pPr>
        <w:widowControl/>
        <w:spacing w:after="60"/>
        <w:ind w:firstLine="420"/>
      </w:pPr>
      <w:r>
        <w:rPr>
          <w:color w:val="000000"/>
        </w:rPr>
        <w:t>首版建议使用片内 8 KB Data Flash 保存低频配置，不采用未经原理图确认的外部 EEPROM。参数包括版本、序号、CRC、通道启用、地址、气体许可、单位与量程核对值、通讯超时、流量偏差阈值和阀门时序。实际流量、非零运行输出和暂态状态不作为上电恢复依据。</w:t>
      </w:r>
    </w:p>
    <w:p w14:paraId="2F50D66A">
      <w:pPr>
        <w:widowControl/>
        <w:spacing w:after="60"/>
        <w:ind w:firstLine="420"/>
      </w:pPr>
      <w:r>
        <w:rPr>
          <w:color w:val="000000"/>
        </w:rPr>
        <w:t>配置保存采用两个独立可擦除区域的 A/B 副本，区域边界按 RA4M1 擦除粒度确定。先写新副本、回读和校验，最后提交有效标志；上电选择最新有效版本。两份均无效则加载关断默认配置并报警。仅在明确保存或配置稳定后写入，避免把周期采样写入 Flash；运行中擦写时延是否影响通讯需验证，首版优先在待机保存。</w:t>
      </w:r>
    </w:p>
    <w:p w14:paraId="4B3E7EB1">
      <w:pPr>
        <w:widowControl/>
        <w:spacing w:after="60"/>
        <w:ind w:firstLine="420"/>
      </w:pPr>
      <w:r>
        <w:rPr>
          <w:color w:val="000000"/>
        </w:rPr>
        <w:t>事件日志使用 RAM 环形缓冲，记录单调时间、事件号、通道、请求号、旧值、新值和失败原因。需要跨断电日志或绝对时间时，另行确认存储介质、RTC 与时钟来源。建议静态 RAM 预算不超过 24 KB，保留至少 8 KB 用于栈与余量，最终以链接映射和栈高水位实测核算。</w:t>
      </w:r>
    </w:p>
    <w:p w14:paraId="378F3281">
      <w:pPr>
        <w:widowControl/>
        <w:spacing w:after="60"/>
        <w:ind w:firstLine="420"/>
      </w:pPr>
      <w:r>
        <w:rPr>
          <w:color w:val="000000"/>
        </w:rPr>
        <w:t>建议 1 ms 基础时基驱动软件计时，所有超时用时间差判断并处理计数回绕；阀门计时、通讯超时和数据有效期分别管理。看门狗只在关键任务健康检查通过后喂狗，不能在固定中断中无条件喂狗掩盖主循环卡死。</w:t>
      </w:r>
    </w:p>
    <w:p w14:paraId="0B914F6A">
      <w:pPr>
        <w:pStyle w:val="3"/>
      </w:pPr>
      <w:bookmarkStart w:id="22" w:name="_Toc239940999"/>
      <w:r>
        <w:t>报警与异常处理模块</w:t>
      </w:r>
      <w:bookmarkEnd w:id="22"/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2242"/>
        <w:gridCol w:w="3737"/>
        <w:gridCol w:w="4487"/>
      </w:tblGrid>
      <w:tr w14:paraId="2745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2242" w:type="dxa"/>
            <w:vAlign w:val="center"/>
          </w:tcPr>
          <w:p w14:paraId="60A05319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故障或事件</w:t>
            </w:r>
          </w:p>
        </w:tc>
        <w:tc>
          <w:tcPr>
            <w:tcW w:w="3737" w:type="dxa"/>
            <w:vAlign w:val="center"/>
          </w:tcPr>
          <w:p w14:paraId="01A0CBC4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判定依据</w:t>
            </w:r>
          </w:p>
        </w:tc>
        <w:tc>
          <w:tcPr>
            <w:tcW w:w="4487" w:type="dxa"/>
            <w:vAlign w:val="center"/>
          </w:tcPr>
          <w:p w14:paraId="10B5BDFA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初步处理</w:t>
            </w:r>
          </w:p>
        </w:tc>
      </w:tr>
      <w:tr w14:paraId="6723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3CDEE6C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通讯超时或校验失败</w:t>
            </w:r>
          </w:p>
        </w:tc>
        <w:tc>
          <w:tcPr>
            <w:tcW w:w="3737" w:type="dxa"/>
            <w:vAlign w:val="center"/>
          </w:tcPr>
          <w:p w14:paraId="4E471AD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事务时限、校验、地址与命令匹配失败</w:t>
            </w:r>
          </w:p>
        </w:tc>
        <w:tc>
          <w:tcPr>
            <w:tcW w:w="4487" w:type="dxa"/>
            <w:vAlign w:val="center"/>
          </w:tcPr>
          <w:p w14:paraId="18DCBBF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使对应数据无效；有限重试，参与运行通道持续失效则整机停机</w:t>
            </w:r>
          </w:p>
        </w:tc>
      </w:tr>
      <w:tr w14:paraId="5DA94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5D9AD1B3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写入结果未知或回读不符</w:t>
            </w:r>
          </w:p>
        </w:tc>
        <w:tc>
          <w:tcPr>
            <w:tcW w:w="3737" w:type="dxa"/>
            <w:vAlign w:val="center"/>
          </w:tcPr>
          <w:p w14:paraId="176BB22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无有效响应或 RSFD 不等于目标</w:t>
            </w:r>
          </w:p>
        </w:tc>
        <w:tc>
          <w:tcPr>
            <w:tcW w:w="4487" w:type="dxa"/>
            <w:vAlign w:val="center"/>
          </w:tcPr>
          <w:p w14:paraId="199E016C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不更新已确认值；停止启动事务，记录目标与回读值</w:t>
            </w:r>
          </w:p>
        </w:tc>
      </w:tr>
      <w:tr w14:paraId="00F2A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420C2EA2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传感器或存储异常</w:t>
            </w:r>
          </w:p>
        </w:tc>
        <w:tc>
          <w:tcPr>
            <w:tcW w:w="3737" w:type="dxa"/>
            <w:vAlign w:val="center"/>
          </w:tcPr>
          <w:p w14:paraId="6865D27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RALM 位 1 或位 4</w:t>
            </w:r>
          </w:p>
        </w:tc>
        <w:tc>
          <w:tcPr>
            <w:tcW w:w="4487" w:type="dxa"/>
            <w:vAlign w:val="center"/>
          </w:tcPr>
          <w:p w14:paraId="25491D3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锁定故障，关闭外部参与通路并请求全部 MFC 关闭</w:t>
            </w:r>
          </w:p>
        </w:tc>
      </w:tr>
      <w:tr w14:paraId="475D5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771629B3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内部阀过热</w:t>
            </w:r>
          </w:p>
        </w:tc>
        <w:tc>
          <w:tcPr>
            <w:tcW w:w="3737" w:type="dxa"/>
            <w:vAlign w:val="center"/>
          </w:tcPr>
          <w:p w14:paraId="284AAF8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RALM 位 2</w:t>
            </w:r>
          </w:p>
        </w:tc>
        <w:tc>
          <w:tcPr>
            <w:tcW w:w="4487" w:type="dxa"/>
            <w:vAlign w:val="center"/>
          </w:tcPr>
          <w:p w14:paraId="543D1BB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停止相关控制并整机停机；确认供气和压力条件后人工恢复</w:t>
            </w:r>
          </w:p>
        </w:tc>
      </w:tr>
      <w:tr w14:paraId="1BF9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623FB248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流量持续偏差</w:t>
            </w:r>
          </w:p>
        </w:tc>
        <w:tc>
          <w:tcPr>
            <w:tcW w:w="3737" w:type="dxa"/>
            <w:vAlign w:val="center"/>
          </w:tcPr>
          <w:p w14:paraId="40A76C7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有效样本、稳定时间后仍超阈值</w:t>
            </w:r>
          </w:p>
        </w:tc>
        <w:tc>
          <w:tcPr>
            <w:tcW w:w="4487" w:type="dxa"/>
            <w:vAlign w:val="center"/>
          </w:tcPr>
          <w:p w14:paraId="71F9ECAC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经确认时间报警；严重等级与停机门限由工艺确认</w:t>
            </w:r>
          </w:p>
        </w:tc>
      </w:tr>
      <w:tr w14:paraId="53015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49E17C1B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手动许可撤销</w:t>
            </w:r>
          </w:p>
        </w:tc>
        <w:tc>
          <w:tcPr>
            <w:tcW w:w="3737" w:type="dxa"/>
            <w:vAlign w:val="center"/>
          </w:tcPr>
          <w:p w14:paraId="6A62FC0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已接入的许可信号变为禁止</w:t>
            </w:r>
          </w:p>
        </w:tc>
        <w:tc>
          <w:tcPr>
            <w:tcW w:w="4487" w:type="dxa"/>
            <w:vAlign w:val="center"/>
          </w:tcPr>
          <w:p w14:paraId="726CCCF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立即关闭相应输出；混气运行转停止</w:t>
            </w:r>
          </w:p>
        </w:tc>
      </w:tr>
      <w:tr w14:paraId="1B5B9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75273006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复位、看门狗或欠压</w:t>
            </w:r>
          </w:p>
        </w:tc>
        <w:tc>
          <w:tcPr>
            <w:tcW w:w="3737" w:type="dxa"/>
            <w:vAlign w:val="center"/>
          </w:tcPr>
          <w:p w14:paraId="7B6A518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复位原因及硬件监测</w:t>
            </w:r>
          </w:p>
        </w:tc>
        <w:tc>
          <w:tcPr>
            <w:tcW w:w="4487" w:type="dxa"/>
            <w:vAlign w:val="center"/>
          </w:tcPr>
          <w:p w14:paraId="38C5E7D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上电默认关断，记录原因，不自动恢复运行</w:t>
            </w:r>
          </w:p>
        </w:tc>
      </w:tr>
      <w:tr w14:paraId="6F77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2242" w:type="dxa"/>
            <w:vAlign w:val="center"/>
          </w:tcPr>
          <w:p w14:paraId="23B2D1F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参数不匹配</w:t>
            </w:r>
          </w:p>
        </w:tc>
        <w:tc>
          <w:tcPr>
            <w:tcW w:w="3737" w:type="dxa"/>
            <w:vAlign w:val="center"/>
          </w:tcPr>
          <w:p w14:paraId="1E2E9E0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设备读回气体、量程或计量条件不符</w:t>
            </w:r>
          </w:p>
        </w:tc>
        <w:tc>
          <w:tcPr>
            <w:tcW w:w="4487" w:type="dxa"/>
            <w:vAlign w:val="center"/>
          </w:tcPr>
          <w:p w14:paraId="7D70E7C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禁止该通道就绪，要求维护人员核对配置或设备</w:t>
            </w:r>
          </w:p>
        </w:tc>
      </w:tr>
    </w:tbl>
    <w:p w14:paraId="5CE65CBB">
      <w:pPr>
        <w:spacing w:line="60" w:lineRule="exact"/>
      </w:pPr>
    </w:p>
    <w:p w14:paraId="0C806926">
      <w:pPr>
        <w:widowControl/>
        <w:spacing w:after="60"/>
        <w:ind w:firstLine="420"/>
      </w:pPr>
      <w:r>
        <w:rPr>
          <w:color w:val="000000"/>
        </w:rPr>
        <w:t>通讯断开时软件关闭 MFC 的命令可能无法到达，因此不能把 WVSS=2 当作唯一停机措施。外部阀或专门硬件关断应保证失电、MCU 复位及卡死时的预期状态；若现有阀件或手动机构不能满足，需先调整硬件。断电关断、阀位确认与排空泄压是不同能力，分别验证。</w:t>
      </w:r>
    </w:p>
    <w:p w14:paraId="354E89E8">
      <w:pPr>
        <w:pStyle w:val="3"/>
      </w:pPr>
      <w:bookmarkStart w:id="23" w:name="_Toc239941000"/>
      <w:r>
        <w:t>联调与测试计划</w:t>
      </w:r>
      <w:bookmarkEnd w:id="23"/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943"/>
        <w:gridCol w:w="4485"/>
        <w:gridCol w:w="4038"/>
      </w:tblGrid>
      <w:tr w14:paraId="4AF1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943" w:type="dxa"/>
            <w:vAlign w:val="center"/>
          </w:tcPr>
          <w:p w14:paraId="210D5E7A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测试项</w:t>
            </w:r>
          </w:p>
        </w:tc>
        <w:tc>
          <w:tcPr>
            <w:tcW w:w="4485" w:type="dxa"/>
            <w:vAlign w:val="center"/>
          </w:tcPr>
          <w:p w14:paraId="18EE35F4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方法</w:t>
            </w:r>
          </w:p>
        </w:tc>
        <w:tc>
          <w:tcPr>
            <w:tcW w:w="4038" w:type="dxa"/>
            <w:vAlign w:val="center"/>
          </w:tcPr>
          <w:p w14:paraId="05989DFF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通过标准</w:t>
            </w:r>
          </w:p>
        </w:tc>
      </w:tr>
      <w:tr w14:paraId="0A53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3F8F8B21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线束与地址</w:t>
            </w:r>
          </w:p>
        </w:tc>
        <w:tc>
          <w:tcPr>
            <w:tcW w:w="4485" w:type="dxa"/>
            <w:vAlign w:val="center"/>
          </w:tcPr>
          <w:p w14:paraId="00D9488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断电逐针测量 RJ45/DB9；单机读取；随后接入六台</w:t>
            </w:r>
          </w:p>
        </w:tc>
        <w:tc>
          <w:tcPr>
            <w:tcW w:w="4038" w:type="dxa"/>
            <w:vAlign w:val="center"/>
          </w:tcPr>
          <w:p w14:paraId="2ABF5CB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无错接；地址 001 至 006 唯一；通道与实际气体一致</w:t>
            </w:r>
          </w:p>
        </w:tc>
      </w:tr>
      <w:tr w14:paraId="70B8F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535FA6F5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协议与换算</w:t>
            </w:r>
          </w:p>
        </w:tc>
        <w:tc>
          <w:tcPr>
            <w:tcW w:w="4485" w:type="dxa"/>
            <w:vAlign w:val="center"/>
          </w:tcPr>
          <w:p w14:paraId="1794D97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校验本文示例；测试正负尾数、不同小数位、cc/L 与不同基准温度</w:t>
            </w:r>
          </w:p>
        </w:tc>
        <w:tc>
          <w:tcPr>
            <w:tcW w:w="4038" w:type="dxa"/>
            <w:vAlign w:val="center"/>
          </w:tcPr>
          <w:p w14:paraId="44684F5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错误帧不更新数据；量程和设定换算与设备一致</w:t>
            </w:r>
          </w:p>
        </w:tc>
      </w:tr>
      <w:tr w14:paraId="2CB2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0342BA61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数字控制</w:t>
            </w:r>
          </w:p>
        </w:tc>
        <w:tc>
          <w:tcPr>
            <w:tcW w:w="4485" w:type="dxa"/>
            <w:vAlign w:val="center"/>
          </w:tcPr>
          <w:p w14:paraId="31F4D63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验证 WFSM/WVSS/WSFD 及回读；检查 DB9 pin1 的优先级</w:t>
            </w:r>
          </w:p>
        </w:tc>
        <w:tc>
          <w:tcPr>
            <w:tcW w:w="4038" w:type="dxa"/>
            <w:vAlign w:val="center"/>
          </w:tcPr>
          <w:p w14:paraId="18CA873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写入回读一致；外部强制状态可识别；不误报控制成功</w:t>
            </w:r>
          </w:p>
        </w:tc>
      </w:tr>
      <w:tr w14:paraId="34C0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538B09BF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边界与错误输入</w:t>
            </w:r>
          </w:p>
        </w:tc>
        <w:tc>
          <w:tcPr>
            <w:tcW w:w="4485" w:type="dxa"/>
            <w:vAlign w:val="center"/>
          </w:tcPr>
          <w:p w14:paraId="1801D07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测试零、低于 2% 的非零值、满量程、超量程、负设定、非法单位</w:t>
            </w:r>
          </w:p>
        </w:tc>
        <w:tc>
          <w:tcPr>
            <w:tcW w:w="4038" w:type="dxa"/>
            <w:vAlign w:val="center"/>
          </w:tcPr>
          <w:p w14:paraId="18A6095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零可停止，其余非法输入被明确拒绝且不改变有效设定</w:t>
            </w:r>
          </w:p>
        </w:tc>
      </w:tr>
      <w:tr w14:paraId="4F622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4E116401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六路轮询</w:t>
            </w:r>
          </w:p>
        </w:tc>
        <w:tc>
          <w:tcPr>
            <w:tcW w:w="4485" w:type="dxa"/>
            <w:vAlign w:val="center"/>
          </w:tcPr>
          <w:p w14:paraId="0C3660B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运行至少六台，注入一台离线和慢响应</w:t>
            </w:r>
          </w:p>
        </w:tc>
        <w:tc>
          <w:tcPr>
            <w:tcW w:w="4038" w:type="dxa"/>
            <w:vAlign w:val="center"/>
          </w:tcPr>
          <w:p w14:paraId="1D292AF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健康通道不被长期阻塞；记录实际刷新周期及最坏数据年龄</w:t>
            </w:r>
          </w:p>
        </w:tc>
      </w:tr>
      <w:tr w14:paraId="7B18F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02A9D27B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迟到帧与重试</w:t>
            </w:r>
          </w:p>
        </w:tc>
        <w:tc>
          <w:tcPr>
            <w:tcW w:w="4485" w:type="dxa"/>
            <w:vAlign w:val="center"/>
          </w:tcPr>
          <w:p w14:paraId="47FC77C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丢弃写响应、延迟同命令响应、注入 NG/乱码/超长帧</w:t>
            </w:r>
          </w:p>
        </w:tc>
        <w:tc>
          <w:tcPr>
            <w:tcW w:w="4038" w:type="dxa"/>
            <w:vAlign w:val="center"/>
          </w:tcPr>
          <w:p w14:paraId="3B8BBE8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最终值经回读确定；不会因旧响应误更新新请求状态</w:t>
            </w:r>
          </w:p>
        </w:tc>
      </w:tr>
      <w:tr w14:paraId="7DA75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070D6821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阀门与通路</w:t>
            </w:r>
          </w:p>
        </w:tc>
        <w:tc>
          <w:tcPr>
            <w:tcW w:w="4485" w:type="dxa"/>
            <w:vAlign w:val="center"/>
          </w:tcPr>
          <w:p w14:paraId="28607DF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无危险介质条件下逐路验证九阀、手动许可、分组吸合和通路切换</w:t>
            </w:r>
          </w:p>
        </w:tc>
        <w:tc>
          <w:tcPr>
            <w:tcW w:w="4038" w:type="dxa"/>
            <w:vAlign w:val="center"/>
          </w:tcPr>
          <w:p w14:paraId="18CCA37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映射正确；先关后开；同组重复开阀不提前转保持</w:t>
            </w:r>
          </w:p>
        </w:tc>
      </w:tr>
      <w:tr w14:paraId="6ED6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183E438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复位与断电</w:t>
            </w:r>
          </w:p>
        </w:tc>
        <w:tc>
          <w:tcPr>
            <w:tcW w:w="4485" w:type="dxa"/>
            <w:vAlign w:val="center"/>
          </w:tcPr>
          <w:p w14:paraId="27B1A308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在运行、写设定及保存配置阶段掉电、复位或触发看门狗</w:t>
            </w:r>
          </w:p>
        </w:tc>
        <w:tc>
          <w:tcPr>
            <w:tcW w:w="4038" w:type="dxa"/>
            <w:vAlign w:val="center"/>
          </w:tcPr>
          <w:p w14:paraId="64C82F9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外部输出回到验证过的关断态；配置旧或新副本至少一份有效</w:t>
            </w:r>
          </w:p>
        </w:tc>
      </w:tr>
      <w:tr w14:paraId="33E0A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37997C4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报警与恢复</w:t>
            </w:r>
          </w:p>
        </w:tc>
        <w:tc>
          <w:tcPr>
            <w:tcW w:w="4485" w:type="dxa"/>
            <w:vAlign w:val="center"/>
          </w:tcPr>
          <w:p w14:paraId="16407FC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注入通讯故障、MFC 报警及持续流量偏差</w:t>
            </w:r>
          </w:p>
        </w:tc>
        <w:tc>
          <w:tcPr>
            <w:tcW w:w="4038" w:type="dxa"/>
            <w:vAlign w:val="center"/>
          </w:tcPr>
          <w:p w14:paraId="4373285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按级别停机；恢复后保持待机，必须重新启动</w:t>
            </w:r>
          </w:p>
        </w:tc>
      </w:tr>
      <w:tr w14:paraId="5D9F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943" w:type="dxa"/>
            <w:vAlign w:val="center"/>
          </w:tcPr>
          <w:p w14:paraId="4BD9EC59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计量与耐久</w:t>
            </w:r>
          </w:p>
        </w:tc>
        <w:tc>
          <w:tcPr>
            <w:tcW w:w="4485" w:type="dxa"/>
            <w:vAlign w:val="center"/>
          </w:tcPr>
          <w:p w14:paraId="024CF8C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充分预热、规定气体及压差下与标准仪器比较；建议持续运行 24 h</w:t>
            </w:r>
          </w:p>
        </w:tc>
        <w:tc>
          <w:tcPr>
            <w:tcW w:w="4038" w:type="dxa"/>
            <w:vAlign w:val="center"/>
          </w:tcPr>
          <w:p w14:paraId="5DF00FE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按确认的计量条件验收；无死锁、异常复位或计数溢出</w:t>
            </w:r>
          </w:p>
        </w:tc>
      </w:tr>
    </w:tbl>
    <w:p w14:paraId="5C88F187">
      <w:pPr>
        <w:spacing w:line="60" w:lineRule="exact"/>
      </w:pPr>
    </w:p>
    <w:p w14:paraId="0CA6A0E9">
      <w:pPr>
        <w:widowControl/>
        <w:spacing w:after="60"/>
        <w:ind w:firstLine="420"/>
      </w:pPr>
      <w:r>
        <w:rPr>
          <w:color w:val="000000"/>
        </w:rPr>
        <w:t>联调先完成电气和单机通讯，再验证六路总线与空载输出，最后在经批准的工艺条件下验证实际流量。保存固件版本、原理图版本、设备铭牌、串口抓包、GPIO 时序、测试仪器及判定结果；刷新周期、停止延时和计量误差分别记录。</w:t>
      </w:r>
    </w:p>
    <w:p w14:paraId="6F77CE74">
      <w:pPr>
        <w:pStyle w:val="3"/>
      </w:pPr>
      <w:bookmarkStart w:id="24" w:name="_Toc239941001"/>
      <w:r>
        <w:t>待确认事项与下一步</w:t>
      </w:r>
      <w:bookmarkEnd w:id="24"/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822"/>
        <w:gridCol w:w="7176"/>
        <w:gridCol w:w="2468"/>
      </w:tblGrid>
      <w:tr w14:paraId="2EEC6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822" w:type="dxa"/>
            <w:vAlign w:val="center"/>
          </w:tcPr>
          <w:p w14:paraId="623820B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编号</w:t>
            </w:r>
          </w:p>
        </w:tc>
        <w:tc>
          <w:tcPr>
            <w:tcW w:w="7176" w:type="dxa"/>
            <w:vAlign w:val="center"/>
          </w:tcPr>
          <w:p w14:paraId="1E4CE261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待确认内容</w:t>
            </w:r>
          </w:p>
        </w:tc>
        <w:tc>
          <w:tcPr>
            <w:tcW w:w="2468" w:type="dxa"/>
            <w:vAlign w:val="center"/>
          </w:tcPr>
          <w:p w14:paraId="0695766A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确认后影响</w:t>
            </w:r>
          </w:p>
        </w:tc>
      </w:tr>
      <w:tr w14:paraId="29A6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3DFCB54F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D01</w:t>
            </w:r>
          </w:p>
        </w:tc>
        <w:tc>
          <w:tcPr>
            <w:tcW w:w="7176" w:type="dxa"/>
            <w:vAlign w:val="center"/>
          </w:tcPr>
          <w:p w14:paraId="22C46AF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六台实物完整型号、供电版本、OPTION 通讯参数、气体与满量程；CH6 用途</w:t>
            </w:r>
          </w:p>
        </w:tc>
        <w:tc>
          <w:tcPr>
            <w:tcW w:w="2468" w:type="dxa"/>
            <w:vAlign w:val="center"/>
          </w:tcPr>
          <w:p w14:paraId="6447982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设备配置、通道许可和最终量程</w:t>
            </w:r>
          </w:p>
        </w:tc>
      </w:tr>
      <w:tr w14:paraId="52D2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6739B173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D02</w:t>
            </w:r>
          </w:p>
        </w:tc>
        <w:tc>
          <w:tcPr>
            <w:tcW w:w="7176" w:type="dxa"/>
            <w:vAlign w:val="center"/>
          </w:tcPr>
          <w:p w14:paraId="2B597DE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S3 图示流量是额定量程还是目标流量；流量单位和 RFRC 基准条件</w:t>
            </w:r>
          </w:p>
        </w:tc>
        <w:tc>
          <w:tcPr>
            <w:tcW w:w="2468" w:type="dxa"/>
            <w:vAlign w:val="center"/>
          </w:tcPr>
          <w:p w14:paraId="233F69F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设定范围、显示及计量验收</w:t>
            </w:r>
          </w:p>
        </w:tc>
      </w:tr>
      <w:tr w14:paraId="2D45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64B3A27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D03</w:t>
            </w:r>
          </w:p>
        </w:tc>
        <w:tc>
          <w:tcPr>
            <w:tcW w:w="7176" w:type="dxa"/>
            <w:vAlign w:val="center"/>
          </w:tcPr>
          <w:p w14:paraId="5A6D9E0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S1 地址拨码 01 至 99 与帧说明 001 至 009 不一致；本设计仅用 001 至 006</w:t>
            </w:r>
          </w:p>
        </w:tc>
        <w:tc>
          <w:tcPr>
            <w:tcW w:w="2468" w:type="dxa"/>
            <w:vAlign w:val="center"/>
          </w:tcPr>
          <w:p w14:paraId="3A536B3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后续扩展地址范围需厂商确认</w:t>
            </w:r>
          </w:p>
        </w:tc>
      </w:tr>
      <w:tr w14:paraId="39BB4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54FDE66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D04</w:t>
            </w:r>
          </w:p>
        </w:tc>
        <w:tc>
          <w:tcPr>
            <w:tcW w:w="7176" w:type="dxa"/>
            <w:vAlign w:val="center"/>
          </w:tcPr>
          <w:p w14:paraId="2B7BD83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RCFR 写为“符号加四位数”又标“固定长四字节”；首版按符号加四位共五字节候选验证</w:t>
            </w:r>
          </w:p>
        </w:tc>
        <w:tc>
          <w:tcPr>
            <w:tcW w:w="2468" w:type="dxa"/>
            <w:vAlign w:val="center"/>
          </w:tcPr>
          <w:p w14:paraId="492208E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以实机抓包锁定帧长，禁止静默截取</w:t>
            </w:r>
          </w:p>
        </w:tc>
      </w:tr>
      <w:tr w14:paraId="2F48A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60748DAC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D05</w:t>
            </w:r>
          </w:p>
        </w:tc>
        <w:tc>
          <w:tcPr>
            <w:tcW w:w="7176" w:type="dxa"/>
            <w:vAlign w:val="center"/>
          </w:tcPr>
          <w:p w14:paraId="726BDD84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RSFR、RAZS 的请求与响应方向表述矛盾，RCFS 对零值范围也需核实</w:t>
            </w:r>
          </w:p>
        </w:tc>
        <w:tc>
          <w:tcPr>
            <w:tcW w:w="2468" w:type="dxa"/>
            <w:vAlign w:val="center"/>
          </w:tcPr>
          <w:p w14:paraId="2F1E0F95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暂不用于关键流程；厂商确认后扩展命令</w:t>
            </w:r>
          </w:p>
        </w:tc>
      </w:tr>
      <w:tr w14:paraId="7ED96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10319D52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D06</w:t>
            </w:r>
          </w:p>
        </w:tc>
        <w:tc>
          <w:tcPr>
            <w:tcW w:w="7176" w:type="dxa"/>
            <w:vAlign w:val="center"/>
          </w:tcPr>
          <w:p w14:paraId="5A6D10E7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设备失联、断电重启及参数保存行为；WALA 是否掉电保持</w:t>
            </w:r>
          </w:p>
        </w:tc>
        <w:tc>
          <w:tcPr>
            <w:tcW w:w="2468" w:type="dxa"/>
            <w:vAlign w:val="center"/>
          </w:tcPr>
          <w:p w14:paraId="252E5E0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停止策略、初始化写入和恢复顺序</w:t>
            </w:r>
          </w:p>
        </w:tc>
      </w:tr>
      <w:tr w14:paraId="28F6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7593F7B8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D07</w:t>
            </w:r>
          </w:p>
        </w:tc>
        <w:tc>
          <w:tcPr>
            <w:tcW w:w="7176" w:type="dxa"/>
            <w:vAlign w:val="center"/>
          </w:tcPr>
          <w:p w14:paraId="48933EC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J10 与 EX201 的 DB9 引脚差异；RJ45 线序、终端、参考地及屏蔽；RS485/CAN 实际装配</w:t>
            </w:r>
          </w:p>
        </w:tc>
        <w:tc>
          <w:tcPr>
            <w:tcW w:w="2468" w:type="dxa"/>
            <w:vAlign w:val="center"/>
          </w:tcPr>
          <w:p w14:paraId="53DB8E7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最终线束图与通讯 BSP；禁止直接照抄通用 DB9 接法</w:t>
            </w:r>
          </w:p>
        </w:tc>
      </w:tr>
      <w:tr w14:paraId="41B88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0761A25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D08</w:t>
            </w:r>
          </w:p>
        </w:tc>
        <w:tc>
          <w:tcPr>
            <w:tcW w:w="7176" w:type="dxa"/>
            <w:vAlign w:val="center"/>
          </w:tcPr>
          <w:p w14:paraId="479E8B6C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SP3485EN 与原理图 5V3/5V4 供电标注是否匹配实际 BOM；方向与终端控制有效极性</w:t>
            </w:r>
          </w:p>
        </w:tc>
        <w:tc>
          <w:tcPr>
            <w:tcW w:w="2468" w:type="dxa"/>
            <w:vAlign w:val="center"/>
          </w:tcPr>
          <w:p w14:paraId="28578C92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收发器供电核对及接口调试</w:t>
            </w:r>
          </w:p>
        </w:tc>
      </w:tr>
      <w:tr w14:paraId="46349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5FB23C3B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D09</w:t>
            </w:r>
          </w:p>
        </w:tc>
        <w:tc>
          <w:tcPr>
            <w:tcW w:w="7176" w:type="dxa"/>
            <w:vAlign w:val="center"/>
          </w:tcPr>
          <w:p w14:paraId="53BD882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九阀常开/常闭、线圈额定与保持电压、吸合和关闭时限、分组电源逻辑</w:t>
            </w:r>
          </w:p>
        </w:tc>
        <w:tc>
          <w:tcPr>
            <w:tcW w:w="2468" w:type="dxa"/>
            <w:vAlign w:val="center"/>
          </w:tcPr>
          <w:p w14:paraId="291C855A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BSP 极性、停机能力、组计时和通路等待</w:t>
            </w:r>
          </w:p>
        </w:tc>
      </w:tr>
      <w:tr w14:paraId="633B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69AACB5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D10</w:t>
            </w:r>
          </w:p>
        </w:tc>
        <w:tc>
          <w:tcPr>
            <w:tcW w:w="7176" w:type="dxa"/>
            <w:vAlign w:val="center"/>
          </w:tcPr>
          <w:p w14:paraId="5848BB59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手动按钮是否可读及是否能机械强开；急停、总关断、阀位或电流反馈接入</w:t>
            </w:r>
          </w:p>
        </w:tc>
        <w:tc>
          <w:tcPr>
            <w:tcW w:w="2468" w:type="dxa"/>
            <w:vAlign w:val="center"/>
          </w:tcPr>
          <w:p w14:paraId="79483C3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实际状态显示与故障停机边界</w:t>
            </w:r>
          </w:p>
        </w:tc>
      </w:tr>
      <w:tr w14:paraId="39832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0F05002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D11</w:t>
            </w:r>
          </w:p>
        </w:tc>
        <w:tc>
          <w:tcPr>
            <w:tcW w:w="7176" w:type="dxa"/>
            <w:vAlign w:val="center"/>
          </w:tcPr>
          <w:p w14:paraId="4DE385E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V9 末端用途，排空/校准流向、下游隔离、压力条件及许可气体组合</w:t>
            </w:r>
          </w:p>
        </w:tc>
        <w:tc>
          <w:tcPr>
            <w:tcW w:w="2468" w:type="dxa"/>
            <w:vAlign w:val="center"/>
          </w:tcPr>
          <w:p w14:paraId="2C93B49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冻结正常、维护和排空流程</w:t>
            </w:r>
          </w:p>
        </w:tc>
      </w:tr>
      <w:tr w14:paraId="2C02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822" w:type="dxa"/>
            <w:vAlign w:val="center"/>
          </w:tcPr>
          <w:p w14:paraId="77C2BE35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D12</w:t>
            </w:r>
          </w:p>
        </w:tc>
        <w:tc>
          <w:tcPr>
            <w:tcW w:w="7176" w:type="dxa"/>
            <w:vAlign w:val="center"/>
          </w:tcPr>
          <w:p w14:paraId="0507EBF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HMI 形式、上行 RS485/CAN 协议、刷新目标、远程断连策略、日志保留需求</w:t>
            </w:r>
          </w:p>
        </w:tc>
        <w:tc>
          <w:tcPr>
            <w:tcW w:w="2468" w:type="dxa"/>
            <w:vAlign w:val="center"/>
          </w:tcPr>
          <w:p w14:paraId="1BF5491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上位机接口、存储和验收范围</w:t>
            </w:r>
          </w:p>
        </w:tc>
      </w:tr>
    </w:tbl>
    <w:p w14:paraId="7E085DA4">
      <w:pPr>
        <w:spacing w:line="60" w:lineRule="exact"/>
      </w:pPr>
    </w:p>
    <w:p w14:paraId="21FD512B">
      <w:pPr>
        <w:widowControl/>
        <w:spacing w:after="60"/>
        <w:ind w:firstLine="420"/>
      </w:pPr>
      <w:r>
        <w:rPr>
          <w:color w:val="000000"/>
        </w:rPr>
        <w:t>建议按“确认实物和接线 → 单台协议验证 → 六路轮询 → 九阀与手动联锁 → 运行时序与故障恢复 → 上位机联调”的顺序推进。完成 D01、D07 至 D11 后冻结硬件相关配置，完成单机抓包后冻结协议解析规则，再发布可执行的详细设计与测试用例版本。</w:t>
      </w:r>
    </w:p>
    <w:sectPr>
      <w:headerReference r:id="rId15" w:type="default"/>
      <w:footerReference r:id="rId16" w:type="default"/>
      <w:pgSz w:w="11906" w:h="16838"/>
      <w:pgMar w:top="1440" w:right="720" w:bottom="1440" w:left="72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DDE05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 xml:space="preserve">第 </w:t>
    </w:r>
    <w:r>
      <w:rPr>
        <w:rFonts w:hint="eastAsia" w:ascii="宋体" w:hAnsi="宋体"/>
        <w:sz w:val="18"/>
        <w:szCs w:val="20"/>
      </w:rPr>
      <w:fldChar w:fldCharType="begin"/>
    </w:r>
    <w:r>
      <w:rPr>
        <w:rFonts w:hint="eastAsia" w:ascii="宋体" w:hAnsi="宋体"/>
        <w:sz w:val="18"/>
        <w:szCs w:val="20"/>
      </w:rPr>
      <w:instrText xml:space="preserve"> PAGE  \* MERGEFORMAT </w:instrText>
    </w:r>
    <w:r>
      <w:rPr>
        <w:rFonts w:hint="eastAsia" w:ascii="宋体" w:hAnsi="宋体"/>
        <w:sz w:val="18"/>
        <w:szCs w:val="20"/>
      </w:rPr>
      <w:fldChar w:fldCharType="separate"/>
    </w:r>
    <w:r>
      <w:rPr>
        <w:sz w:val="21"/>
      </w:rPr>
      <w:t>1</w:t>
    </w:r>
    <w:r>
      <w:rPr>
        <w:rFonts w:hint="eastAsia" w:ascii="宋体" w:hAnsi="宋体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页 共</w:t>
    </w:r>
    <w:r>
      <w:rPr>
        <w:rFonts w:hint="eastAsia" w:ascii="宋体" w:hAnsi="宋体"/>
        <w:sz w:val="18"/>
        <w:szCs w:val="20"/>
      </w:rPr>
      <w:t xml:space="preserve"> </w:t>
    </w:r>
    <w:r>
      <w:rPr>
        <w:rFonts w:hint="eastAsia" w:ascii="宋体" w:hAnsi="宋体"/>
        <w:sz w:val="18"/>
        <w:szCs w:val="20"/>
      </w:rPr>
      <w:fldChar w:fldCharType="begin"/>
    </w:r>
    <w:r>
      <w:rPr>
        <w:rFonts w:hint="eastAsia" w:ascii="宋体" w:hAnsi="宋体"/>
        <w:sz w:val="18"/>
        <w:szCs w:val="20"/>
      </w:rPr>
      <w:instrText xml:space="preserve"> sectionPAGES  \* MERGEFORMAT </w:instrText>
    </w:r>
    <w:r>
      <w:rPr>
        <w:rFonts w:hint="eastAsia" w:ascii="宋体" w:hAnsi="宋体"/>
        <w:sz w:val="18"/>
        <w:szCs w:val="20"/>
      </w:rPr>
      <w:fldChar w:fldCharType="separate"/>
    </w:r>
    <w:r>
      <w:rPr>
        <w:rFonts w:hint="eastAsia" w:ascii="宋体" w:hAnsi="宋体"/>
        <w:sz w:val="18"/>
        <w:szCs w:val="20"/>
      </w:rPr>
      <w:t>2</w:t>
    </w:r>
    <w:r>
      <w:rPr>
        <w:rFonts w:hint="eastAsia" w:ascii="宋体" w:hAnsi="宋体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页</w:t>
    </w:r>
  </w:p>
  <w:p w14:paraId="15DB4C9F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66C99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732CF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29A60">
    <w:pPr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8A536">
    <w:pPr>
      <w:pStyle w:val="15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60914">
    <w:pPr>
      <w:jc w:val="center"/>
      <w:rPr>
        <w:rFonts w:ascii="宋体"/>
        <w:szCs w:val="21"/>
      </w:rPr>
    </w:pPr>
    <w:r>
      <w:rPr>
        <w:rFonts w:hint="eastAsia" w:ascii="宋体"/>
        <w:szCs w:val="21"/>
      </w:rPr>
      <w:t xml:space="preserve">第 </w:t>
    </w:r>
    <w:r>
      <w:rPr>
        <w:rFonts w:hint="eastAsia" w:ascii="宋体" w:hAnsi="宋体"/>
        <w:szCs w:val="21"/>
      </w:rPr>
      <w:fldChar w:fldCharType="begin"/>
    </w:r>
    <w:r>
      <w:rPr>
        <w:rFonts w:hint="eastAsia" w:ascii="宋体" w:hAnsi="宋体"/>
        <w:szCs w:val="21"/>
      </w:rPr>
      <w:instrText xml:space="preserve"> PAGE  \* MERGEFORMAT </w:instrText>
    </w:r>
    <w:r>
      <w:rPr>
        <w:rFonts w:hint="eastAsia" w:ascii="宋体" w:hAnsi="宋体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hint="eastAsia" w:ascii="宋体" w:hAnsi="宋体"/>
        <w:szCs w:val="21"/>
      </w:rPr>
      <w:fldChar w:fldCharType="end"/>
    </w:r>
    <w:r>
      <w:rPr>
        <w:rFonts w:hint="eastAsia" w:ascii="宋体"/>
        <w:szCs w:val="21"/>
      </w:rPr>
      <w:t xml:space="preserve"> 页 共</w:t>
    </w:r>
    <w:r>
      <w:rPr>
        <w:rFonts w:hint="eastAsia" w:ascii="宋体" w:hAnsi="宋体"/>
        <w:szCs w:val="21"/>
      </w:rPr>
      <w:t xml:space="preserve"> </w:t>
    </w:r>
    <w:r>
      <w:rPr>
        <w:rFonts w:hint="eastAsia" w:ascii="宋体" w:hAnsi="宋体"/>
        <w:szCs w:val="21"/>
      </w:rPr>
      <w:fldChar w:fldCharType="begin"/>
    </w:r>
    <w:r>
      <w:rPr>
        <w:rFonts w:hint="eastAsia" w:ascii="宋体" w:hAnsi="宋体"/>
        <w:szCs w:val="21"/>
      </w:rPr>
      <w:instrText xml:space="preserve"> sectionPAGES  \* MERGEFORMAT </w:instrText>
    </w:r>
    <w:r>
      <w:rPr>
        <w:rFonts w:hint="eastAsia" w:ascii="宋体" w:hAnsi="宋体"/>
        <w:szCs w:val="21"/>
      </w:rPr>
      <w:fldChar w:fldCharType="separate"/>
    </w:r>
    <w:r>
      <w:rPr>
        <w:rFonts w:hint="eastAsia" w:ascii="宋体" w:hAnsi="宋体"/>
        <w:szCs w:val="21"/>
      </w:rPr>
      <w:t>17</w:t>
    </w:r>
    <w:r>
      <w:rPr>
        <w:rFonts w:hint="eastAsia" w:ascii="宋体" w:hAnsi="宋体"/>
        <w:szCs w:val="21"/>
      </w:rPr>
      <w:fldChar w:fldCharType="end"/>
    </w:r>
    <w:r>
      <w:rPr>
        <w:rFonts w:hint="eastAsia" w:ascii="宋体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AC50A">
    <w:pPr>
      <w:pBdr>
        <w:bottom w:val="single" w:color="auto" w:sz="4" w:space="1"/>
      </w:pBdr>
      <w:jc w:val="right"/>
      <w:rPr>
        <w:rFonts w:ascii="Arial Unicode MS" w:hAnsi="Arial Unicode MS" w:eastAsia="Arial Unicode MS" w:cs="Arial Unicode MS"/>
        <w:szCs w:val="18"/>
      </w:rPr>
    </w:pPr>
    <w:r>
      <w:rPr>
        <w:color w:val="000000"/>
        <w:sz w:val="21"/>
      </w:rPr>
      <w:t>六路流量计控制系统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7E60B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61EDE">
    <w:pPr>
      <w:pStyle w:val="16"/>
      <w:jc w:val="right"/>
      <w:rPr>
        <w:sz w:val="28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169B1">
    <w:pPr>
      <w:pBdr>
        <w:bottom w:val="single" w:color="auto" w:sz="4" w:space="1"/>
      </w:pBdr>
      <w:jc w:val="right"/>
      <w:rPr>
        <w:rFonts w:ascii="Arial Unicode MS" w:hAnsi="Arial Unicode MS" w:eastAsia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897D9">
    <w:pPr>
      <w:pStyle w:val="16"/>
      <w:jc w:val="right"/>
      <w:rPr>
        <w:sz w:val="28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C8D3F">
    <w:pPr>
      <w:pBdr>
        <w:bottom w:val="single" w:color="auto" w:sz="4" w:space="1"/>
      </w:pBdr>
      <w:jc w:val="right"/>
      <w:rPr>
        <w:rFonts w:ascii="Arial Unicode MS" w:hAnsi="Arial Unicode MS" w:eastAsia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35780"/>
    <w:multiLevelType w:val="multilevel"/>
    <w:tmpl w:val="C4E35780"/>
    <w:lvl w:ilvl="0" w:tentative="0">
      <w:start w:val="1"/>
      <w:numFmt w:val="chineseCountingThousand"/>
      <w:pStyle w:val="2"/>
      <w:suff w:val="space"/>
      <w:lvlText w:val="第%1章"/>
      <w:lvlJc w:val="left"/>
      <w:rPr>
        <w:rFonts w:hint="eastAsia"/>
        <w:b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360"/>
        </w:tabs>
      </w:p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 w:tentative="0">
      <w:start w:val="1"/>
      <w:numFmt w:val="decimal"/>
      <w:pStyle w:val="5"/>
      <w:isLgl/>
      <w:lvlText w:val="%3.%4"/>
      <w:lvlJc w:val="left"/>
      <w:pPr>
        <w:ind w:left="425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46F4"/>
    <w:rsid w:val="00010218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40C0"/>
    <w:rsid w:val="00385308"/>
    <w:rsid w:val="00390500"/>
    <w:rsid w:val="0039050C"/>
    <w:rsid w:val="00390D62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3E23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22E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3DA4"/>
    <w:rsid w:val="00E25FB4"/>
    <w:rsid w:val="00E27F48"/>
    <w:rsid w:val="00E300A0"/>
    <w:rsid w:val="00E34156"/>
    <w:rsid w:val="00E34A2E"/>
    <w:rsid w:val="00E36023"/>
    <w:rsid w:val="00E405BD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714A"/>
    <w:rsid w:val="00F21938"/>
    <w:rsid w:val="00F24F2C"/>
    <w:rsid w:val="00F254B6"/>
    <w:rsid w:val="00F278B2"/>
    <w:rsid w:val="00F36618"/>
    <w:rsid w:val="00F37F75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842A1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199121F"/>
    <w:rsid w:val="021533E7"/>
    <w:rsid w:val="021A3D54"/>
    <w:rsid w:val="050D2A9B"/>
    <w:rsid w:val="054D733B"/>
    <w:rsid w:val="084036B3"/>
    <w:rsid w:val="090C2F37"/>
    <w:rsid w:val="09593763"/>
    <w:rsid w:val="096B5FE2"/>
    <w:rsid w:val="09871725"/>
    <w:rsid w:val="09BC4A90"/>
    <w:rsid w:val="0B0C55A3"/>
    <w:rsid w:val="0D274DA8"/>
    <w:rsid w:val="0E456E02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A63478"/>
    <w:rsid w:val="20DD736E"/>
    <w:rsid w:val="21D50045"/>
    <w:rsid w:val="22FE5379"/>
    <w:rsid w:val="291E0523"/>
    <w:rsid w:val="2C444745"/>
    <w:rsid w:val="2C9D0CDF"/>
    <w:rsid w:val="2D0B5263"/>
    <w:rsid w:val="2E5D03AE"/>
    <w:rsid w:val="2EA72D69"/>
    <w:rsid w:val="2EF91817"/>
    <w:rsid w:val="2F6D3FB3"/>
    <w:rsid w:val="2FAB0637"/>
    <w:rsid w:val="30B579BF"/>
    <w:rsid w:val="30F743E4"/>
    <w:rsid w:val="316D2048"/>
    <w:rsid w:val="31994BEB"/>
    <w:rsid w:val="31B17C89"/>
    <w:rsid w:val="327E720E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DA0717"/>
    <w:rsid w:val="3CD1485F"/>
    <w:rsid w:val="3D3C1624"/>
    <w:rsid w:val="3DAF5113"/>
    <w:rsid w:val="3DE73AB4"/>
    <w:rsid w:val="3E045AE2"/>
    <w:rsid w:val="3E0C5604"/>
    <w:rsid w:val="3EE14075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1DD00D3"/>
    <w:rsid w:val="72C04BDF"/>
    <w:rsid w:val="735C36EF"/>
    <w:rsid w:val="73DC038C"/>
    <w:rsid w:val="7638515B"/>
    <w:rsid w:val="790E2BC4"/>
    <w:rsid w:val="79F8144F"/>
    <w:rsid w:val="7A0A4911"/>
    <w:rsid w:val="7C2154D6"/>
    <w:rsid w:val="7C86635A"/>
    <w:rsid w:val="7CA57EB5"/>
    <w:rsid w:val="7D0A7D18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34"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35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36"/>
    <w:qFormat/>
    <w:uiPriority w:val="0"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37"/>
    <w:qFormat/>
    <w:uiPriority w:val="0"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8">
    <w:name w:val="heading 7"/>
    <w:basedOn w:val="1"/>
    <w:next w:val="1"/>
    <w:link w:val="38"/>
    <w:qFormat/>
    <w:uiPriority w:val="0"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9">
    <w:name w:val="heading 8"/>
    <w:basedOn w:val="1"/>
    <w:next w:val="1"/>
    <w:link w:val="39"/>
    <w:qFormat/>
    <w:uiPriority w:val="0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10">
    <w:name w:val="heading 9"/>
    <w:basedOn w:val="1"/>
    <w:next w:val="1"/>
    <w:link w:val="40"/>
    <w:qFormat/>
    <w:uiPriority w:val="0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41"/>
    <w:unhideWhenUsed/>
    <w:qFormat/>
    <w:uiPriority w:val="99"/>
    <w:rPr>
      <w:rFonts w:ascii="宋体"/>
      <w:sz w:val="18"/>
      <w:szCs w:val="18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Body Text 2"/>
    <w:basedOn w:val="1"/>
    <w:qFormat/>
    <w:uiPriority w:val="0"/>
    <w:rPr>
      <w:b/>
      <w:bCs/>
      <w:sz w:val="28"/>
    </w:rPr>
  </w:style>
  <w:style w:type="paragraph" w:styleId="2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Cs w:val="24"/>
    </w:rPr>
  </w:style>
  <w:style w:type="paragraph" w:styleId="21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</w:rPr>
  </w:style>
  <w:style w:type="paragraph" w:styleId="22">
    <w:name w:val="annotation subject"/>
    <w:basedOn w:val="12"/>
    <w:next w:val="12"/>
    <w:link w:val="44"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qFormat/>
    <w:uiPriority w:val="22"/>
    <w:rPr>
      <w:b/>
    </w:rPr>
  </w:style>
  <w:style w:type="character" w:styleId="27">
    <w:name w:val="page number"/>
    <w:qFormat/>
    <w:uiPriority w:val="0"/>
  </w:style>
  <w:style w:type="character" w:styleId="28">
    <w:name w:val="FollowedHyperlink"/>
    <w:unhideWhenUsed/>
    <w:qFormat/>
    <w:uiPriority w:val="99"/>
    <w:rPr>
      <w:color w:val="954F72"/>
      <w:u w:val="single"/>
    </w:rPr>
  </w:style>
  <w:style w:type="character" w:styleId="29">
    <w:name w:val="Hyperlink"/>
    <w:qFormat/>
    <w:uiPriority w:val="99"/>
    <w:rPr>
      <w:color w:val="0000FF"/>
      <w:u w:val="single"/>
    </w:rPr>
  </w:style>
  <w:style w:type="character" w:styleId="30">
    <w:name w:val="HTML Code"/>
    <w:unhideWhenUsed/>
    <w:qFormat/>
    <w:uiPriority w:val="99"/>
    <w:rPr>
      <w:rFonts w:ascii="Courier New" w:hAnsi="Courier New"/>
      <w:sz w:val="20"/>
    </w:rPr>
  </w:style>
  <w:style w:type="character" w:styleId="31">
    <w:name w:val="annotation reference"/>
    <w:unhideWhenUsed/>
    <w:qFormat/>
    <w:uiPriority w:val="99"/>
    <w:rPr>
      <w:sz w:val="21"/>
      <w:szCs w:val="21"/>
    </w:rPr>
  </w:style>
  <w:style w:type="character" w:customStyle="1" w:styleId="32">
    <w:name w:val="标题 1 字符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3">
    <w:name w:val="标题 2 字符"/>
    <w:link w:val="3"/>
    <w:qFormat/>
    <w:uiPriority w:val="0"/>
    <w:rPr>
      <w:rFonts w:ascii="Cambria" w:hAnsi="Cambria" w:eastAsia="宋体"/>
      <w:b/>
      <w:bCs/>
      <w:sz w:val="32"/>
      <w:szCs w:val="32"/>
    </w:rPr>
  </w:style>
  <w:style w:type="character" w:customStyle="1" w:styleId="34">
    <w:name w:val="标题 3 字符"/>
    <w:link w:val="4"/>
    <w:qFormat/>
    <w:uiPriority w:val="0"/>
    <w:rPr>
      <w:b/>
      <w:bCs/>
      <w:sz w:val="32"/>
      <w:szCs w:val="32"/>
    </w:rPr>
  </w:style>
  <w:style w:type="character" w:customStyle="1" w:styleId="35">
    <w:name w:val="标题 4 字符"/>
    <w:link w:val="5"/>
    <w:qFormat/>
    <w:uiPriority w:val="0"/>
    <w:rPr>
      <w:rFonts w:ascii="Cambria" w:hAnsi="Cambria"/>
      <w:b/>
      <w:bCs/>
      <w:sz w:val="28"/>
      <w:szCs w:val="28"/>
    </w:rPr>
  </w:style>
  <w:style w:type="character" w:customStyle="1" w:styleId="36">
    <w:name w:val="标题 5 字符"/>
    <w:link w:val="6"/>
    <w:qFormat/>
    <w:uiPriority w:val="0"/>
    <w:rPr>
      <w:b/>
      <w:bCs/>
      <w:sz w:val="28"/>
      <w:szCs w:val="28"/>
    </w:rPr>
  </w:style>
  <w:style w:type="character" w:customStyle="1" w:styleId="37">
    <w:name w:val="标题 6 字符"/>
    <w:link w:val="7"/>
    <w:qFormat/>
    <w:uiPriority w:val="0"/>
    <w:rPr>
      <w:rFonts w:ascii="Cambria" w:hAnsi="Cambria"/>
      <w:b/>
      <w:bCs/>
      <w:sz w:val="24"/>
      <w:szCs w:val="24"/>
    </w:rPr>
  </w:style>
  <w:style w:type="character" w:customStyle="1" w:styleId="38">
    <w:name w:val="标题 7 字符"/>
    <w:link w:val="8"/>
    <w:qFormat/>
    <w:uiPriority w:val="0"/>
    <w:rPr>
      <w:b/>
      <w:bCs/>
      <w:sz w:val="24"/>
      <w:szCs w:val="24"/>
    </w:rPr>
  </w:style>
  <w:style w:type="character" w:customStyle="1" w:styleId="39">
    <w:name w:val="标题 8 字符"/>
    <w:link w:val="9"/>
    <w:qFormat/>
    <w:uiPriority w:val="0"/>
    <w:rPr>
      <w:rFonts w:ascii="Cambria" w:hAnsi="Cambria"/>
      <w:sz w:val="24"/>
      <w:szCs w:val="24"/>
    </w:rPr>
  </w:style>
  <w:style w:type="character" w:customStyle="1" w:styleId="40">
    <w:name w:val="标题 9 字符"/>
    <w:link w:val="10"/>
    <w:qFormat/>
    <w:uiPriority w:val="0"/>
    <w:rPr>
      <w:rFonts w:ascii="Cambria" w:hAnsi="Cambria"/>
      <w:szCs w:val="21"/>
    </w:rPr>
  </w:style>
  <w:style w:type="character" w:customStyle="1" w:styleId="41">
    <w:name w:val="文档结构图 字符"/>
    <w:link w:val="11"/>
    <w:semiHidden/>
    <w:qFormat/>
    <w:uiPriority w:val="99"/>
    <w:rPr>
      <w:rFonts w:ascii="宋体" w:hAnsi="Calibri"/>
      <w:kern w:val="2"/>
      <w:sz w:val="18"/>
      <w:szCs w:val="18"/>
    </w:rPr>
  </w:style>
  <w:style w:type="character" w:customStyle="1" w:styleId="42">
    <w:name w:val="批注文字 字符"/>
    <w:link w:val="12"/>
    <w:semiHidden/>
    <w:qFormat/>
    <w:uiPriority w:val="99"/>
    <w:rPr>
      <w:rFonts w:ascii="Calibri" w:hAnsi="Calibri"/>
      <w:kern w:val="2"/>
      <w:sz w:val="24"/>
      <w:szCs w:val="22"/>
    </w:rPr>
  </w:style>
  <w:style w:type="character" w:customStyle="1" w:styleId="43">
    <w:name w:val="批注框文本 字符"/>
    <w:link w:val="14"/>
    <w:semiHidden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44">
    <w:name w:val="批注主题 字符"/>
    <w:link w:val="22"/>
    <w:semiHidden/>
    <w:qFormat/>
    <w:uiPriority w:val="99"/>
    <w:rPr>
      <w:rFonts w:ascii="Calibri" w:hAnsi="Calibri"/>
      <w:b/>
      <w:bCs/>
      <w:kern w:val="2"/>
      <w:sz w:val="24"/>
      <w:szCs w:val="22"/>
    </w:rPr>
  </w:style>
  <w:style w:type="character" w:customStyle="1" w:styleId="45">
    <w:name w:val="批注框文本 Char"/>
    <w:link w:val="46"/>
    <w:qFormat/>
    <w:uiPriority w:val="0"/>
    <w:rPr>
      <w:sz w:val="18"/>
      <w:szCs w:val="18"/>
    </w:rPr>
  </w:style>
  <w:style w:type="paragraph" w:customStyle="1" w:styleId="46">
    <w:name w:val="批注框文本1"/>
    <w:basedOn w:val="1"/>
    <w:link w:val="45"/>
    <w:qFormat/>
    <w:uiPriority w:val="0"/>
    <w:rPr>
      <w:rFonts w:ascii="Times New Roman" w:hAnsi="Times New Roman"/>
      <w:kern w:val="0"/>
      <w:sz w:val="18"/>
      <w:szCs w:val="18"/>
    </w:rPr>
  </w:style>
  <w:style w:type="character" w:customStyle="1" w:styleId="47">
    <w:name w:val="页眉 Char Char"/>
    <w:link w:val="48"/>
    <w:qFormat/>
    <w:uiPriority w:val="0"/>
    <w:rPr>
      <w:sz w:val="18"/>
      <w:szCs w:val="18"/>
    </w:rPr>
  </w:style>
  <w:style w:type="paragraph" w:customStyle="1" w:styleId="48">
    <w:name w:val="页眉1"/>
    <w:basedOn w:val="1"/>
    <w:link w:val="4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49">
    <w:name w:val="标题 Char"/>
    <w:link w:val="50"/>
    <w:qFormat/>
    <w:uiPriority w:val="0"/>
    <w:rPr>
      <w:rFonts w:ascii="Cambria" w:hAnsi="Cambria" w:eastAsia="宋体"/>
      <w:b/>
      <w:bCs/>
      <w:sz w:val="32"/>
      <w:szCs w:val="32"/>
    </w:rPr>
  </w:style>
  <w:style w:type="paragraph" w:customStyle="1" w:styleId="50">
    <w:name w:val="标题1"/>
    <w:basedOn w:val="1"/>
    <w:next w:val="1"/>
    <w:link w:val="4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51">
    <w:name w:val="页脚 Char Char"/>
    <w:link w:val="52"/>
    <w:qFormat/>
    <w:uiPriority w:val="0"/>
    <w:rPr>
      <w:sz w:val="18"/>
      <w:szCs w:val="18"/>
    </w:rPr>
  </w:style>
  <w:style w:type="paragraph" w:customStyle="1" w:styleId="52">
    <w:name w:val="页脚1"/>
    <w:basedOn w:val="1"/>
    <w:link w:val="5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53">
    <w:name w:val="MM Title Char Char"/>
    <w:link w:val="54"/>
    <w:qFormat/>
    <w:uiPriority w:val="0"/>
    <w:rPr>
      <w:rFonts w:ascii="Cambria" w:hAnsi="Cambria" w:eastAsia="宋体"/>
      <w:b/>
      <w:bCs/>
      <w:sz w:val="32"/>
      <w:szCs w:val="32"/>
    </w:rPr>
  </w:style>
  <w:style w:type="paragraph" w:customStyle="1" w:styleId="54">
    <w:name w:val="MM Title"/>
    <w:basedOn w:val="50"/>
    <w:link w:val="53"/>
    <w:qFormat/>
    <w:uiPriority w:val="0"/>
  </w:style>
  <w:style w:type="character" w:customStyle="1" w:styleId="55">
    <w:name w:val="日期 Char"/>
    <w:link w:val="56"/>
    <w:qFormat/>
    <w:uiPriority w:val="0"/>
  </w:style>
  <w:style w:type="paragraph" w:customStyle="1" w:styleId="56">
    <w:name w:val="日期1"/>
    <w:basedOn w:val="1"/>
    <w:next w:val="1"/>
    <w:link w:val="55"/>
    <w:qFormat/>
    <w:uiPriority w:val="0"/>
    <w:pPr>
      <w:ind w:left="100" w:leftChars="2500"/>
    </w:pPr>
  </w:style>
  <w:style w:type="paragraph" w:customStyle="1" w:styleId="57">
    <w:name w:val="MM Topic 1"/>
    <w:basedOn w:val="2"/>
    <w:qFormat/>
    <w:uiPriority w:val="0"/>
  </w:style>
  <w:style w:type="paragraph" w:customStyle="1" w:styleId="58">
    <w:name w:val="列表段落1"/>
    <w:basedOn w:val="1"/>
    <w:qFormat/>
    <w:uiPriority w:val="0"/>
    <w:pPr>
      <w:widowControl/>
      <w:spacing w:after="80"/>
      <w:ind w:firstLine="420" w:firstLineChars="20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59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60">
    <w:name w:val="未处理的提及1"/>
    <w:unhideWhenUsed/>
    <w:qFormat/>
    <w:uiPriority w:val="99"/>
    <w:rPr>
      <w:color w:val="605E5C"/>
      <w:shd w:val="clear" w:color="auto" w:fill="E1DFDD"/>
    </w:rPr>
  </w:style>
  <w:style w:type="character" w:customStyle="1" w:styleId="61">
    <w:name w:val="明显参考1"/>
    <w:qFormat/>
    <w:uiPriority w:val="32"/>
    <w:rPr>
      <w:b/>
      <w:bCs/>
      <w:smallCaps/>
      <w:color w:val="4472C4"/>
      <w:spacing w:val="5"/>
    </w:rPr>
  </w:style>
  <w:style w:type="paragraph" w:customStyle="1" w:styleId="62">
    <w:name w:val="BodyCN"/>
    <w:qFormat/>
    <w:uiPriority w:val="0"/>
    <w:pPr>
      <w:spacing w:after="100" w:line="360" w:lineRule="auto"/>
      <w:ind w:firstLine="420"/>
      <w:jc w:val="both"/>
    </w:pPr>
    <w:rPr>
      <w:rFonts w:ascii="Noto Serif CJK SC" w:hAnsi="Noto Serif CJK SC" w:eastAsia="Noto Serif CJK SC" w:cs="Times New Roman"/>
      <w:sz w:val="21"/>
      <w:szCs w:val="22"/>
      <w:lang w:val="en-US" w:eastAsia="en-US" w:bidi="ar-SA"/>
    </w:rPr>
  </w:style>
  <w:style w:type="paragraph" w:customStyle="1" w:styleId="63">
    <w:name w:val="BulletCN"/>
    <w:qFormat/>
    <w:uiPriority w:val="0"/>
    <w:pPr>
      <w:spacing w:after="60" w:line="276" w:lineRule="auto"/>
      <w:ind w:left="397" w:hanging="198"/>
    </w:pPr>
    <w:rPr>
      <w:rFonts w:ascii="Noto Serif CJK SC" w:hAnsi="Noto Serif CJK SC" w:eastAsia="Noto Serif CJK SC" w:cs="Times New Roman"/>
      <w:sz w:val="21"/>
      <w:szCs w:val="22"/>
      <w:lang w:val="en-US" w:eastAsia="en-US" w:bidi="ar-SA"/>
    </w:rPr>
  </w:style>
  <w:style w:type="paragraph" w:customStyle="1" w:styleId="64">
    <w:name w:val="标题2"/>
    <w:basedOn w:val="54"/>
    <w:qFormat/>
    <w:uiPriority w:val="0"/>
    <w:pPr>
      <w:outlineLvl w:val="9"/>
    </w:pPr>
    <w:rPr>
      <w:rFonts w:ascii="宋体" w:hAnsi="宋体"/>
      <w:color w:val="000000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1839</Words>
  <Characters>2378</Characters>
  <Lines>566</Lines>
  <Paragraphs>637</Paragraphs>
  <TotalTime>134</TotalTime>
  <ScaleCrop>false</ScaleCrop>
  <LinksUpToDate>false</LinksUpToDate>
  <CharactersWithSpaces>2564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2026-08-13T02:28:00Z</dcterms:created>
  <dc:creator>Mr.</dc:creator>
  <cp:lastModifiedBy>Mr.</cp:lastModifiedBy>
  <cp:lastPrinted>2026-08-13T02:48:00Z</cp:lastPrinted>
  <dcterms:modified xsi:type="dcterms:W3CDTF">2026-09-10T06:12:59Z</dcterms:modified>
  <dc:subject>R7FA4M1AB3CFM 与 EX201 RS485 六路控制</dc:subject>
  <dc:title>六路流量计控制系统软件初步设计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