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rFonts w:cs="Arial"/>
          <w:b/>
          <w:bCs/>
          <w:color w:val="000000"/>
          <w:sz w:val="40"/>
          <w:szCs w:val="40"/>
        </w:rPr>
        <w:t xml:space="preserve">PLAN DE GESTIÓN ANUAL DE LA ADR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COMARCA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Año {anioComarca} </w:t>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sdt>
      <w:sdtPr>
        <w:docPartObj>
          <w:docPartGallery w:val="Table of Contents"/>
          <w:docPartUnique w:val="true"/>
        </w:docPartObj>
      </w:sdtPr>
      <w:sdtContent>
        <w:p>
          <w:pPr>
            <w:pStyle w:val="TOCHeading"/>
            <w:ind w:hanging="0" w:left="0"/>
            <w:rPr>
              <w:color w:val="000000"/>
            </w:rPr>
          </w:pPr>
          <w:bookmarkStart w:id="0" w:name="_Hlk189551961"/>
          <w:bookmarkEnd w:id="0"/>
          <w:r>
            <w:rPr>
              <w:color w:val="000000"/>
            </w:rPr>
            <w:t>Contenido</w:t>
          </w:r>
        </w:p>
        <w:p>
          <w:pPr>
            <w:pStyle w:val="Normal"/>
            <w:rPr>
              <w:color w:val="000000"/>
              <w:lang w:val="es-ES" w:eastAsia="es-ES"/>
            </w:rPr>
          </w:pPr>
          <w:r>
            <w:rPr>
              <w:color w:val="000000"/>
              <w:lang w:val="es-ES" w:eastAsia="es-ES"/>
            </w:rPr>
          </w:r>
        </w:p>
        <w:p>
          <w:pPr>
            <w:pStyle w:val="TOC1"/>
            <w:tabs>
              <w:tab w:val="clear" w:pos="708"/>
              <w:tab w:val="left" w:pos="480" w:leader="none"/>
              <w:tab w:val="right" w:pos="9015" w:leader="dot"/>
            </w:tabs>
            <w:rPr/>
          </w:pPr>
          <w:r>
            <w:fldChar w:fldCharType="begin"/>
          </w:r>
          <w:r>
            <w:rPr>
              <w:webHidden/>
              <w:rStyle w:val="Enlacedelndice"/>
              <w:vanish w:val="false"/>
              <w:color w:val="000000"/>
            </w:rPr>
            <w:instrText xml:space="preserve"> TOC \z \o "1-3" \u \h</w:instrText>
          </w:r>
          <w:r>
            <w:rPr>
              <w:webHidden/>
              <w:rStyle w:val="Enlacedelndice"/>
              <w:vanish w:val="false"/>
              <w:color w:val="000000"/>
            </w:rPr>
            <w:fldChar w:fldCharType="separate"/>
          </w:r>
          <w:hyperlink w:anchor="_Toc208425385">
            <w:r>
              <w:rPr>
                <w:webHidden/>
                <w:rStyle w:val="Enlacedelndice"/>
                <w:vanish w:val="false"/>
                <w:color w:val="000000"/>
              </w:rPr>
              <w:t>1.</w:t>
            </w:r>
            <w:r>
              <w:rPr>
                <w:rStyle w:val="Enlacedelndice"/>
                <w:vanish w:val="false"/>
                <w:color w:val="000000"/>
              </w:rPr>
              <w:tab/>
            </w:r>
            <w:r>
              <w:rPr>
                <w:rStyle w:val="Enlacedelndice"/>
                <w:vanish w:val="false"/>
                <w:color w:val="000000"/>
              </w:rPr>
              <w:t>INTRODUCCIÓN</w:t>
            </w:r>
            <w:r>
              <w:rPr>
                <w:webHidden/>
              </w:rPr>
              <w:fldChar w:fldCharType="begin"/>
            </w:r>
            <w:r>
              <w:rPr>
                <w:webHidden/>
              </w:rPr>
              <w:instrText xml:space="preserve">PAGEREF _Toc208425385 \h</w:instrText>
            </w:r>
            <w:r>
              <w:rPr>
                <w:webHidden/>
              </w:rPr>
              <w:fldChar w:fldCharType="separate"/>
            </w:r>
            <w:r>
              <w:rPr>
                <w:rStyle w:val="Enlacedelndice"/>
                <w:vanish w:val="false"/>
                <w:color w:val="000000"/>
              </w:rPr>
              <w:tab/>
              <w:t>1</w:t>
            </w:r>
            <w:r>
              <w:rPr>
                <w:webHidden/>
              </w:rPr>
              <w:fldChar w:fldCharType="end"/>
            </w:r>
          </w:hyperlink>
        </w:p>
        <w:p>
          <w:pPr>
            <w:pStyle w:val="TOC1"/>
            <w:tabs>
              <w:tab w:val="clear" w:pos="708"/>
              <w:tab w:val="left" w:pos="480" w:leader="none"/>
              <w:tab w:val="right" w:pos="9015" w:leader="dot"/>
            </w:tabs>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color w:val="000000"/>
              </w:rPr>
              <w:t>2.</w:t>
              <w:tab/>
              <w:t>FUNCIONAMIENTO GENERAL DE LA ADR</w:t>
              <w:tab/>
              <w:t>2</w:t>
            </w:r>
            <w:r>
              <w:rPr>
                <w:webHidden/>
              </w:rPr>
              <w:fldChar w:fldCharType="end"/>
            </w:r>
          </w:hyperlink>
        </w:p>
        <w:p>
          <w:pPr>
            <w:pStyle w:val="TOC1"/>
            <w:tabs>
              <w:tab w:val="clear" w:pos="708"/>
              <w:tab w:val="left" w:pos="480" w:leader="none"/>
              <w:tab w:val="right" w:pos="9015" w:leader="dot"/>
            </w:tabs>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color w:val="000000"/>
              </w:rPr>
              <w:t>3.</w:t>
              <w:tab/>
              <w:t>SERVICIOS PRESTADOS POR LA ADR</w:t>
              <w:tab/>
              <w:t>3</w:t>
            </w:r>
            <w:r>
              <w:rPr>
                <w:webHidden/>
              </w:rPr>
              <w:fldChar w:fldCharType="end"/>
            </w:r>
          </w:hyperlink>
        </w:p>
        <w:p>
          <w:pPr>
            <w:pStyle w:val="TOC1"/>
            <w:tabs>
              <w:tab w:val="clear" w:pos="708"/>
              <w:tab w:val="left" w:pos="480" w:leader="none"/>
              <w:tab w:val="right" w:pos="9015" w:leader="dot"/>
            </w:tabs>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color w:val="000000"/>
              </w:rPr>
              <w:t>4.</w:t>
              <w:tab/>
              <w:t>PLAN DE GESTIÓN ANUAL DEL PCDR: PRIORIZACIÓN DE EJES Y ACCIONES ASOCIADAS</w:t>
              <w:tab/>
              <w:t>3</w:t>
            </w:r>
            <w:r>
              <w:rPr>
                <w:webHidden/>
              </w:rPr>
              <w:fldChar w:fldCharType="end"/>
            </w:r>
          </w:hyperlink>
        </w:p>
        <w:p>
          <w:pPr>
            <w:pStyle w:val="TOC2"/>
            <w:tabs>
              <w:tab w:val="clear" w:pos="708"/>
              <w:tab w:val="right" w:pos="9015" w:leader="dot"/>
            </w:tabs>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color w:val="000000"/>
              </w:rPr>
              <w:t>4.1. PROCESO</w:t>
              <w:tab/>
              <w:t>4</w:t>
            </w:r>
            <w:r>
              <w:rPr>
                <w:webHidden/>
              </w:rPr>
              <w:fldChar w:fldCharType="end"/>
            </w:r>
          </w:hyperlink>
        </w:p>
        <w:p>
          <w:pPr>
            <w:pStyle w:val="TOC2"/>
            <w:tabs>
              <w:tab w:val="clear" w:pos="708"/>
              <w:tab w:val="right" w:pos="9015" w:leader="dot"/>
            </w:tabs>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color w:val="000000"/>
              </w:rPr>
              <w:t>4.2. EJES PRIORITARIOS</w:t>
              <w:tab/>
              <w:t>4</w:t>
            </w:r>
            <w:r>
              <w:rPr>
                <w:webHidden/>
              </w:rPr>
              <w:fldChar w:fldCharType="end"/>
            </w:r>
          </w:hyperlink>
        </w:p>
        <w:p>
          <w:pPr>
            <w:pStyle w:val="TOC2"/>
            <w:tabs>
              <w:tab w:val="clear" w:pos="708"/>
              <w:tab w:val="right" w:pos="9015" w:leader="dot"/>
            </w:tabs>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color w:val="000000"/>
              </w:rPr>
              <w:t>4.3. RESUMEN Y ENCAJE DE LAS ACCIONES EN EL PCDR</w:t>
              <w:tab/>
              <w:t>4</w:t>
            </w:r>
            <w:r>
              <w:rPr>
                <w:webHidden/>
              </w:rPr>
              <w:fldChar w:fldCharType="end"/>
            </w:r>
          </w:hyperlink>
        </w:p>
        <w:p>
          <w:pPr>
            <w:pStyle w:val="TOC2"/>
            <w:tabs>
              <w:tab w:val="clear" w:pos="708"/>
              <w:tab w:val="right" w:pos="9015" w:leader="dot"/>
            </w:tabs>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color w:val="000000"/>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color w:val="000000"/>
              </w:rPr>
              <w:t>5.</w:t>
              <w:tab/>
              <w:t>ACCIONES Y PROYECTOS</w:t>
              <w:tab/>
              <w:t>6</w:t>
            </w:r>
            <w:r>
              <w:rPr>
                <w:webHidden/>
              </w:rPr>
              <w:fldChar w:fldCharType="end"/>
            </w:r>
          </w:hyperlink>
        </w:p>
        <w:p>
          <w:pPr>
            <w:pStyle w:val="TOC1"/>
            <w:tabs>
              <w:tab w:val="clear" w:pos="708"/>
              <w:tab w:val="left" w:pos="480" w:leader="none"/>
              <w:tab w:val="right" w:pos="9015" w:leader="dot"/>
            </w:tabs>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color w:val="000000"/>
              </w:rPr>
              <w:t>6.</w:t>
              <w:tab/>
              <w:t>ANEXOS</w:t>
              <w:tab/>
              <w:t>7</w:t>
            </w:r>
            <w:r>
              <w:rPr>
                <w:webHidden/>
              </w:rPr>
              <w:fldChar w:fldCharType="end"/>
            </w:r>
          </w:hyperlink>
          <w:r>
            <w:rPr>
              <w:rStyle w:val="Enlacedelndice"/>
              <w:vanish w:val="false"/>
              <w:color w:val="000000"/>
            </w:rPr>
            <w:fldChar w:fldCharType="end"/>
          </w:r>
        </w:p>
      </w:sdtContent>
    </w:sdt>
    <w:p>
      <w:pPr>
        <w:pStyle w:val="Normal"/>
        <w:rPr>
          <w:color w:val="000000"/>
        </w:rPr>
      </w:pPr>
      <w:r>
        <w:rPr>
          <w:color w:val="000000"/>
        </w:rPr>
      </w:r>
    </w:p>
    <w:p>
      <w:pPr>
        <w:pStyle w:val="Normal"/>
        <w:spacing w:lineRule="auto" w:line="259" w:before="0" w:after="160"/>
        <w:rPr>
          <w:rFonts w:ascii="Arial" w:hAnsi="Arial" w:cs="Arial"/>
          <w:b/>
          <w:bCs/>
          <w:strike/>
          <w:color w:val="000000"/>
          <w:sz w:val="28"/>
          <w:szCs w:val="28"/>
          <w:u w:val="single"/>
        </w:rPr>
      </w:pPr>
      <w:r>
        <w:rPr>
          <w:rFonts w:cs="Arial" w:ascii="Arial" w:hAnsi="Arial"/>
          <w:b/>
          <w:bCs/>
          <w:strike/>
          <w:color w:val="000000"/>
          <w:sz w:val="28"/>
          <w:szCs w:val="28"/>
          <w:u w:val="single"/>
        </w:rPr>
      </w:r>
      <w:r>
        <w:br w:type="page"/>
      </w:r>
    </w:p>
    <w:p>
      <w:pPr>
        <w:pStyle w:val="Heading1"/>
        <w:numPr>
          <w:ilvl w:val="0"/>
          <w:numId w:val="2"/>
        </w:numPr>
        <w:spacing w:before="0" w:after="80"/>
        <w:ind w:hanging="426" w:left="426"/>
        <w:rPr>
          <w:color w:val="000000"/>
        </w:rPr>
      </w:pPr>
      <w:bookmarkStart w:id="1" w:name="_Toc208425385"/>
      <w:bookmarkStart w:id="2" w:name="_Hlk189551961_Copia_1"/>
      <w:bookmarkEnd w:id="2"/>
      <w:r>
        <w:rPr>
          <w:color w:val="000000"/>
        </w:rPr>
        <w:t>INTRODUCCIÓN</w:t>
      </w:r>
      <w:bookmarkEnd w:id="1"/>
    </w:p>
    <w:p>
      <w:pPr>
        <w:pStyle w:val="Normal"/>
        <w:rPr>
          <w:color w:val="000000"/>
        </w:rPr>
      </w:pPr>
      <w:r>
        <w:rPr>
          <w:color w:val="000000"/>
        </w:rPr>
      </w:r>
    </w:p>
    <w:p>
      <w:pPr>
        <w:pStyle w:val="Pa5"/>
        <w:spacing w:lineRule="auto" w:line="360" w:before="0" w:after="160"/>
        <w:jc w:val="both"/>
        <w:rPr>
          <w:color w:val="000000"/>
        </w:rPr>
      </w:pPr>
      <w:r>
        <w:rPr>
          <w:color w:val="000000"/>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color w:val="000000"/>
        </w:rPr>
      </w:pPr>
      <w:r>
        <w:rPr>
          <w:color w:val="000000"/>
          <w:sz w:val="22"/>
          <w:szCs w:val="22"/>
        </w:rPr>
        <w:t>Esta vinculación se llevará a efecto, a través de la suscripción de un convenio de colaboración</w:t>
      </w:r>
      <w:r>
        <w:rPr>
          <w:rFonts w:eastAsia="Times New Roman"/>
          <w:color w:val="000000"/>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color w:val="000000"/>
        </w:rPr>
      </w:pPr>
      <w:r>
        <w:rPr>
          <w:color w:val="000000"/>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color w:val="000000"/>
        </w:rPr>
      </w:pPr>
      <w:r>
        <w:rPr>
          <w:color w:val="000000"/>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color w:val="000000"/>
        </w:rPr>
      </w:pPr>
      <w:r>
        <w:rPr>
          <w:color w:val="000000"/>
          <w:sz w:val="22"/>
          <w:szCs w:val="22"/>
        </w:rPr>
        <w:t>Así, este documento recoge las acciones en favor del desarrollo rural en la co</w:t>
      </w:r>
      <w:r>
        <w:rPr>
          <w:rFonts w:eastAsia="Aptos" w:cs="Arial"/>
          <w:color w:val="000000"/>
          <w:kern w:val="0"/>
          <w:sz w:val="22"/>
          <w:szCs w:val="22"/>
          <w:lang w:val="es-ES" w:eastAsia="en-US" w:bidi="ar-SA"/>
        </w:rPr>
        <w:t xml:space="preserve">marca de {nComarca}  </w:t>
      </w:r>
      <w:r>
        <w:rPr>
          <w:color w:val="000000"/>
          <w:sz w:val="22"/>
          <w:szCs w:val="22"/>
        </w:rPr>
        <w:t>donde se incorporan tanto las que derivan del PCDR como otras de la ADR, incluyendo así mismo los servicios prestados por la entidad:</w:t>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ListParagraph"/>
        <w:jc w:val="both"/>
        <w:rPr>
          <w:color w:val="000000"/>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Heading1"/>
        <w:numPr>
          <w:ilvl w:val="0"/>
          <w:numId w:val="2"/>
        </w:numPr>
        <w:ind w:hanging="426" w:left="426"/>
        <w:rPr>
          <w:color w:val="000000"/>
        </w:rPr>
      </w:pPr>
      <w:bookmarkStart w:id="3" w:name="_Toc1804394048"/>
      <w:r>
        <w:rPr>
          <w:color w:val="000000"/>
        </w:rPr>
        <w:t>FUNCIONAMIENTO GENERAL DE LA ADR</w:t>
      </w:r>
      <w:bookmarkEnd w:id="3"/>
      <w:r>
        <w:rPr>
          <w:color w:val="000000"/>
        </w:rPr>
        <w:t xml:space="preserve"> </w:t>
      </w:r>
    </w:p>
    <w:p>
      <w:pPr>
        <w:pStyle w:val="Normal"/>
        <w:rPr>
          <w:rFonts w:ascii="Arial" w:hAnsi="Arial" w:cs="Arial"/>
          <w:color w:val="000000"/>
          <w:sz w:val="22"/>
          <w:szCs w:val="22"/>
        </w:rPr>
      </w:pPr>
      <w:r>
        <w:rPr>
          <w:rFonts w:cs="Arial" w:ascii="Arial" w:hAnsi="Arial"/>
          <w:color w:val="000000"/>
          <w:sz w:val="22"/>
          <w:szCs w:val="22"/>
        </w:rPr>
      </w:r>
    </w:p>
    <w:p>
      <w:pPr>
        <w:pStyle w:val="Normal"/>
        <w:spacing w:lineRule="auto" w:line="360"/>
        <w:jc w:val="both"/>
        <w:rPr>
          <w:color w:val="000000"/>
        </w:rPr>
      </w:pPr>
      <w:r>
        <w:rPr>
          <w:rFonts w:cs="Arial" w:ascii="Arial" w:hAnsi="Arial"/>
          <w:color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val="000000"/>
          <w:sz w:val="22"/>
          <w:szCs w:val="22"/>
        </w:rPr>
      </w:pPr>
      <w:r>
        <w:rPr>
          <w:color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ind w:hanging="426" w:left="426"/>
        <w:rPr>
          <w:color w:val="000000"/>
        </w:rPr>
      </w:pPr>
      <w:bookmarkStart w:id="4" w:name="_Toc1704689602"/>
      <w:r>
        <w:rPr>
          <w:color w:val="000000"/>
        </w:rPr>
        <w:t>SERVICIOS PRESTADOS POR LA ADR</w:t>
      </w:r>
      <w:bookmarkEnd w:id="4"/>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a prestar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5" w:name="_Hlk190431626"/>
            <w:bookmarkEnd w:id="5"/>
            <w:r>
              <w:rPr>
                <w:rFonts w:cs="Arial" w:ascii="Arial" w:hAnsi="Arial"/>
                <w:b/>
                <w:bCs/>
                <w:color w:val="FAFAFA"/>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6" w:name="_Hlk190431626_Copia_1"/>
            <w:bookmarkEnd w:id="6"/>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bookmarkStart w:id="7" w:name="_Hlk190431666"/>
            <w:bookmarkEnd w:id="7"/>
          </w:p>
        </w:tc>
      </w:tr>
      <w:tr>
        <w:trPr/>
        <w:tc>
          <w:tcPr>
            <w:tcW w:w="4664"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402" w:type="dxa"/>
            <w:tcBorders/>
            <w:vAlign w:val="center"/>
          </w:tcPr>
          <w:p>
            <w:pPr>
              <w:pStyle w:val="Normal"/>
              <w:widowControl/>
              <w:suppressAutoHyphens w:val="true"/>
              <w:spacing w:before="0" w:after="0"/>
              <w:jc w:val="right"/>
              <w:rPr>
                <w:color w:val="000000"/>
              </w:rPr>
            </w:pPr>
            <w:bookmarkStart w:id="8" w:name="_Hlk190431515"/>
            <w:bookmarkEnd w:id="8"/>
            <w:r>
              <w:rPr>
                <w:rFonts w:cs="Arial" w:ascii="Arial" w:hAnsi="Arial"/>
                <w:color w:val="000000"/>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p>
        </w:tc>
      </w:tr>
      <w:tr>
        <w:trPr>
          <w:trHeight w:val="212" w:hRule="atLeast"/>
        </w:trPr>
        <w:tc>
          <w:tcPr>
            <w:tcW w:w="4664" w:type="dxa"/>
            <w:tcBorders/>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402" w:type="dxa"/>
            <w:tcBorders/>
          </w:tcPr>
          <w:p>
            <w:pPr>
              <w:pStyle w:val="Normal"/>
              <w:widowControl/>
              <w:suppressAutoHyphens w:val="true"/>
              <w:spacing w:before="0" w:after="0"/>
              <w:jc w:val="right"/>
              <w:rPr>
                <w:color w:val="000000"/>
              </w:rPr>
            </w:pPr>
            <w:bookmarkStart w:id="9" w:name="_Hlk190431515_Copia_1"/>
            <w:bookmarkEnd w:id="9"/>
            <w:r>
              <w:rPr>
                <w:rFonts w:cs="Arial" w:ascii="Arial" w:hAnsi="Arial"/>
                <w:color w:val="000000"/>
                <w:sz w:val="22"/>
                <w:szCs w:val="22"/>
                <w:lang w:bidi="ar-SA"/>
              </w:rPr>
              <w:t>{previsto}{/indicadoresResultado}</w:t>
            </w:r>
          </w:p>
        </w:tc>
      </w:tr>
    </w:tbl>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p>
      <w:pPr>
        <w:pStyle w:val="Heading1"/>
        <w:numPr>
          <w:ilvl w:val="0"/>
          <w:numId w:val="2"/>
        </w:numPr>
        <w:ind w:hanging="426" w:left="426"/>
        <w:jc w:val="both"/>
        <w:rPr>
          <w:color w:val="000000"/>
        </w:rPr>
      </w:pPr>
      <w:bookmarkStart w:id="10" w:name="_Toc42913535"/>
      <w:r>
        <w:rPr>
          <w:color w:val="000000"/>
        </w:rPr>
        <w:t>PLAN DE GESTIÓN ANUAL DEL PCDR: PRIORIZACIÓN DE EJES Y ACCIONES ASOCIADAS</w:t>
      </w:r>
      <w:bookmarkEnd w:id="10"/>
    </w:p>
    <w:p>
      <w:pPr>
        <w:pStyle w:val="1Texto"/>
        <w:rPr>
          <w:color w:val="000000"/>
        </w:rPr>
      </w:pPr>
      <w:r>
        <w:rPr>
          <w:color w:val="000000"/>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color w:val="000000"/>
        </w:rPr>
      </w:pPr>
      <w:r>
        <w:rPr>
          <w:color w:val="000000"/>
          <w:sz w:val="22"/>
          <w:szCs w:val="22"/>
        </w:rPr>
        <w:t>La ADR, como garante de la cohesión y coherencia del programa a lo largo de todas sus fases, tiene la responsabilidad de elaborar, coordinar y dar seguimiento al Plan de Gestión</w:t>
      </w:r>
      <w:r>
        <w:rPr>
          <w:color w:val="000000"/>
        </w:rPr>
        <w:t xml:space="preserve"> </w:t>
      </w:r>
      <w:r>
        <w:rPr>
          <w:color w:val="000000"/>
          <w:sz w:val="22"/>
          <w:szCs w:val="22"/>
        </w:rPr>
        <w:t>Anual del PCDR y la Memoria de Seguimiento Anual, así como de facilitar la colaboración entre los distintos actores asegurando el cumplimiento de los objetivos estratégicos.</w:t>
      </w:r>
    </w:p>
    <w:p>
      <w:pPr>
        <w:pStyle w:val="1Texto"/>
        <w:rPr>
          <w:color w:val="000000"/>
        </w:rPr>
      </w:pPr>
      <w:r>
        <w:rPr>
          <w:color w:val="000000"/>
          <w:sz w:val="22"/>
          <w:szCs w:val="22"/>
        </w:rPr>
        <w:t xml:space="preserve">Para ello, se establece el Comité de Dirección del PCDR que, de manera colaborativa, </w:t>
      </w:r>
      <w:r>
        <w:rPr>
          <w:b/>
          <w:bCs/>
          <w:color w:val="000000"/>
          <w:sz w:val="22"/>
          <w:szCs w:val="22"/>
        </w:rPr>
        <w:t>prioriza los ejes estratégicos a abordar cada año</w:t>
      </w:r>
      <w:r>
        <w:rPr>
          <w:color w:val="000000"/>
          <w:sz w:val="22"/>
          <w:szCs w:val="22"/>
        </w:rPr>
        <w:t xml:space="preserve"> </w:t>
      </w:r>
      <w:r>
        <w:rPr>
          <w:b/>
          <w:bCs/>
          <w:color w:val="000000"/>
          <w:sz w:val="22"/>
          <w:szCs w:val="22"/>
        </w:rPr>
        <w:t>y establece las acciones</w:t>
      </w:r>
      <w:r>
        <w:rPr>
          <w:color w:val="000000"/>
          <w:sz w:val="22"/>
          <w:szCs w:val="22"/>
        </w:rPr>
        <w:t xml:space="preserve"> a desarrollar, que se han de caracterizar por su </w:t>
      </w:r>
      <w:r>
        <w:rPr>
          <w:b/>
          <w:bCs/>
          <w:color w:val="000000"/>
          <w:sz w:val="22"/>
          <w:szCs w:val="22"/>
        </w:rPr>
        <w:t>carácter transformador</w:t>
      </w:r>
      <w:r>
        <w:rPr>
          <w:color w:val="000000"/>
          <w:sz w:val="22"/>
          <w:szCs w:val="22"/>
        </w:rPr>
        <w:t xml:space="preserve">. La implicación de los diferentes agentes en el impulso de cada una de ellas se refuerza con la formalización de las correspondientes </w:t>
      </w:r>
      <w:r>
        <w:rPr>
          <w:b/>
          <w:bCs/>
          <w:color w:val="000000"/>
          <w:sz w:val="22"/>
          <w:szCs w:val="22"/>
        </w:rPr>
        <w:t>muestras de interés</w:t>
      </w:r>
      <w:r>
        <w:rPr>
          <w:color w:val="000000"/>
          <w:sz w:val="22"/>
          <w:szCs w:val="22"/>
        </w:rPr>
        <w:t>.</w:t>
      </w:r>
    </w:p>
    <w:p>
      <w:pPr>
        <w:pStyle w:val="Normal"/>
        <w:spacing w:lineRule="auto" w:line="360" w:before="0" w:after="0"/>
        <w:contextualSpacing/>
        <w:jc w:val="both"/>
        <w:rPr>
          <w:color w:val="000000"/>
        </w:rPr>
      </w:pPr>
      <w:r>
        <w:rPr>
          <w:rFonts w:cs="Arial" w:ascii="Arial" w:hAnsi="Arial"/>
          <w:color w:val="000000"/>
          <w:sz w:val="22"/>
          <w:szCs w:val="22"/>
        </w:rPr>
        <w:t>A continuación, se detalla el plan de gestión del PCDR de</w:t>
      </w:r>
      <w:r>
        <w:rPr>
          <w:rFonts w:cs="Arial" w:ascii="Arial" w:hAnsi="Arial"/>
          <w:b/>
          <w:bCs/>
          <w:color w:val="000000"/>
          <w:sz w:val="22"/>
          <w:szCs w:val="22"/>
        </w:rPr>
        <w:t xml:space="preserv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color w:val="000000"/>
          <w:sz w:val="22"/>
          <w:szCs w:val="22"/>
        </w:rPr>
        <w:t xml:space="preserve"> </w:t>
      </w:r>
      <w:r>
        <w:rPr>
          <w:rFonts w:cs="Arial" w:ascii="Arial" w:hAnsi="Arial"/>
          <w:color w:val="000000"/>
          <w:sz w:val="22"/>
          <w:szCs w:val="22"/>
        </w:rPr>
        <w:t>e</w:t>
      </w:r>
      <w:r>
        <w:rPr>
          <w:rFonts w:cs="Arial" w:ascii="Arial" w:hAnsi="Arial"/>
          <w:color w:val="000000"/>
          <w:sz w:val="22"/>
          <w:szCs w:val="22"/>
          <w:lang w:val="es-ES"/>
        </w:rPr>
        <w:t xml:space="preserve">n base al modelo recogido en Anexo VII </w:t>
      </w:r>
      <w:r>
        <w:rPr>
          <w:rFonts w:cs="Arial" w:ascii="Arial" w:hAnsi="Arial"/>
          <w:color w:val="000000"/>
          <w:sz w:val="22"/>
          <w:szCs w:val="22"/>
        </w:rPr>
        <w:t>del documento que recoge la metodología de elaboración, ejecución y seguimiento de los mismos.</w:t>
      </w:r>
    </w:p>
    <w:p>
      <w:pPr>
        <w:pStyle w:val="Heading2"/>
        <w:rPr>
          <w:color w:val="000000"/>
        </w:rPr>
      </w:pPr>
      <w:bookmarkStart w:id="11" w:name="_Toc259807886"/>
      <w:r>
        <w:rPr>
          <w:color w:val="000000"/>
          <w:lang w:val="es-ES"/>
        </w:rPr>
        <w:t>4.1. PROCESO</w:t>
      </w:r>
      <w:bookmarkEnd w:id="11"/>
      <w:r>
        <w:rPr>
          <w:color w:val="000000"/>
          <w:lang w:val="es-ES"/>
        </w:rPr>
        <w:t xml:space="preserve"> </w:t>
      </w:r>
    </w:p>
    <w:p>
      <w:pPr>
        <w:pStyle w:val="Normal"/>
        <w:spacing w:lineRule="auto" w:line="360" w:before="0" w:after="0"/>
        <w:contextualSpacing/>
        <w:jc w:val="both"/>
        <w:rPr>
          <w:color w:val="000000"/>
        </w:rPr>
      </w:pPr>
      <w:r>
        <w:rPr>
          <w:rFonts w:ascii="Arial" w:hAnsi="Arial"/>
          <w:i/>
          <w:iCs/>
          <w:color w:val="000000"/>
        </w:rPr>
        <w:t>{proceso}</w:t>
      </w:r>
    </w:p>
    <w:p>
      <w:pPr>
        <w:pStyle w:val="Heading2"/>
        <w:rPr>
          <w:color w:val="000000"/>
        </w:rPr>
      </w:pPr>
      <w:bookmarkStart w:id="12" w:name="_Toc320360495"/>
      <w:r>
        <w:rPr>
          <w:color w:val="000000"/>
          <w:lang w:val="es-ES"/>
        </w:rPr>
        <w:t>4.2. EJES PRIORITARIOS</w:t>
      </w:r>
      <w:bookmarkEnd w:id="12"/>
      <w:r>
        <w:rPr>
          <w:color w:val="000000"/>
          <w:lang w:val="es-ES"/>
        </w:rPr>
        <w:t xml:space="preserve"> </w:t>
      </w:r>
    </w:p>
    <w:p>
      <w:pPr>
        <w:pStyle w:val="Normal"/>
        <w:spacing w:lineRule="auto" w:line="360" w:before="0" w:after="0"/>
        <w:contextualSpacing/>
        <w:jc w:val="both"/>
        <w:rPr>
          <w:color w:val="000000"/>
        </w:rPr>
      </w:pPr>
      <w:r>
        <w:rPr>
          <w:rFonts w:cs="Arial" w:ascii="Arial" w:hAnsi="Arial"/>
          <w:color w:val="000000"/>
          <w:sz w:val="22"/>
          <w:szCs w:val="22"/>
          <w:lang w:val="es-ES"/>
        </w:rPr>
        <w:t xml:space="preserve">Como resultado del proceso anteriormente descrito, para el año </w:t>
      </w:r>
      <w:r>
        <w:rPr>
          <w:rFonts w:eastAsia="SimSun" w:cs="" w:ascii="Arial" w:hAnsi="Arial" w:cstheme="minorBidi"/>
          <w:b/>
          <w:bCs/>
          <w:i/>
          <w:iCs/>
          <w:color w:val="000000"/>
          <w:kern w:val="0"/>
          <w:sz w:val="22"/>
          <w:szCs w:val="22"/>
          <w:lang w:val="es-ES" w:eastAsia="en-US" w:bidi="ar-SA"/>
        </w:rPr>
        <w:t>{anioComarca}</w:t>
      </w:r>
      <w:r>
        <w:rPr>
          <w:rFonts w:cs="Arial" w:ascii="Arial" w:hAnsi="Arial"/>
          <w:color w:val="000000"/>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color w:val="000000"/>
        </w:rPr>
      </w:pPr>
      <w:bookmarkStart w:id="13" w:name="_Toc854836156"/>
      <w:r>
        <w:rPr>
          <w:color w:val="000000"/>
          <w:lang w:val="es-ES"/>
        </w:rPr>
        <w:t>4.3. RESUMEN Y ENCAJE DE LAS ACCIONES EN EL PCDR</w:t>
      </w:r>
      <w:bookmarkEnd w:id="13"/>
    </w:p>
    <w:p>
      <w:pPr>
        <w:pStyle w:val="Normal"/>
        <w:spacing w:lineRule="auto" w:line="360" w:before="0" w:after="0"/>
        <w:contextualSpacing/>
        <w:jc w:val="both"/>
        <w:rPr>
          <w:color w:val="000000"/>
        </w:rPr>
      </w:pPr>
      <w:r>
        <w:rPr>
          <w:rFonts w:cs="Arial" w:ascii="Arial" w:hAnsi="Arial"/>
          <w:color w:val="000000"/>
          <w:sz w:val="22"/>
          <w:szCs w:val="22"/>
          <w:lang w:val="es-ES"/>
        </w:rPr>
        <w:t xml:space="preserve">En el siguiente cuadro se muestran el conjunto de acciones seleccionadas y su encaje en el PCDR de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i/>
          <w:iCs/>
          <w:color w:val="000000"/>
          <w:sz w:val="22"/>
          <w:szCs w:val="22"/>
          <w:lang w:val="es-ES"/>
        </w:rPr>
        <w:t xml:space="preserve"> </w:t>
      </w:r>
      <w:r>
        <w:rPr>
          <w:rFonts w:cs="Arial" w:ascii="Arial" w:hAnsi="Arial"/>
          <w:color w:val="000000"/>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color w:val="000000"/>
          <w:sz w:val="22"/>
          <w:szCs w:val="22"/>
          <w:lang w:val="es-ES"/>
        </w:rPr>
      </w:pPr>
      <w:r>
        <w:rPr>
          <w:rFonts w:cs="Arial" w:ascii="Arial" w:hAnsi="Arial"/>
          <w:color w:val="000000"/>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Eje</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28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val="000000"/>
          <w:sz w:val="28"/>
          <w:szCs w:val="28"/>
          <w:highlight w:val="yellow"/>
        </w:rPr>
      </w:pPr>
      <w:r>
        <w:rPr>
          <w:rFonts w:cs="Arial" w:ascii="Arial" w:hAnsi="Arial"/>
          <w:color w:val="000000"/>
          <w:sz w:val="28"/>
          <w:szCs w:val="28"/>
          <w:highlight w:val="yellow"/>
        </w:rPr>
      </w:r>
    </w:p>
    <w:p>
      <w:pPr>
        <w:pStyle w:val="Heading2"/>
        <w:rPr>
          <w:color w:val="000000"/>
        </w:rPr>
      </w:pPr>
      <w:bookmarkStart w:id="14" w:name="_Toc599842710"/>
      <w:r>
        <w:rPr>
          <w:color w:val="000000"/>
          <w:lang w:val="es-ES"/>
        </w:rPr>
        <w:t>4.4. DESCRIPCIÓN DE LAS ACCIONES PREVISTAS PARA LA ANUALIDAD</w:t>
      </w:r>
      <w:bookmarkEnd w:id="14"/>
    </w:p>
    <w:p>
      <w:pPr>
        <w:pStyle w:val="1Texto"/>
        <w:rPr>
          <w:color w:val="000000"/>
        </w:rPr>
      </w:pPr>
      <w:r>
        <w:rPr>
          <w:b w:val="false"/>
          <w:bCs w:val="false"/>
          <w:i/>
          <w:iCs/>
          <w:color w:val="000000"/>
        </w:rPr>
        <w:t>{</w:t>
      </w:r>
      <w:r>
        <w:rPr>
          <w:b w:val="false"/>
          <w:bCs w:val="false"/>
          <w:i/>
          <w:iCs/>
          <w:color w:val="000000"/>
          <w:lang w:bidi="ar-SA"/>
        </w:rPr>
        <w:t>#resumenAccion</w:t>
      </w:r>
      <w:r>
        <w:rPr>
          <w:b w:val="false"/>
          <w:bCs w:val="false"/>
          <w:i/>
          <w:iCs/>
          <w:color w:val="000000"/>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ind w:hanging="0" w:left="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5"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5"/>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16" w:name="_Hlk194316965"/>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16"/>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59"/>
        <w:gridCol w:w="1946"/>
        <w:gridCol w:w="1849"/>
        <w:gridCol w:w="1391"/>
        <w:gridCol w:w="1723"/>
      </w:tblGrid>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color w:val="000000"/>
        </w:rPr>
      </w:pPr>
      <w:bookmarkStart w:id="17" w:name="_Hlk192747879"/>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17"/>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color w:val="000000"/>
        </w:rPr>
      </w:pPr>
      <w:r>
        <w:rPr>
          <w:color w:val="000000"/>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Heading1"/>
        <w:numPr>
          <w:ilvl w:val="0"/>
          <w:numId w:val="2"/>
        </w:numPr>
        <w:ind w:hanging="426" w:left="426"/>
        <w:jc w:val="both"/>
        <w:rPr>
          <w:color w:val="000000"/>
        </w:rPr>
      </w:pPr>
      <w:bookmarkStart w:id="18" w:name="_Toc1916927322"/>
      <w:r>
        <w:rPr>
          <w:color w:val="000000"/>
        </w:rPr>
        <w:t>ACCIONES Y PROYECTOS</w:t>
      </w:r>
      <w:bookmarkEnd w:id="18"/>
    </w:p>
    <w:p>
      <w:pPr>
        <w:pStyle w:val="Normal"/>
        <w:ind w:left="360"/>
        <w:jc w:val="both"/>
        <w:rPr>
          <w:rFonts w:ascii="Arial" w:hAnsi="Arial" w:cs="Arial"/>
          <w:color w:val="000000"/>
          <w:sz w:val="22"/>
          <w:szCs w:val="22"/>
        </w:rPr>
      </w:pPr>
      <w:r>
        <w:rPr>
          <w:rFonts w:cs="Arial" w:ascii="Arial" w:hAnsi="Arial"/>
          <w:color w:val="000000"/>
          <w:sz w:val="22"/>
          <w:szCs w:val="22"/>
        </w:rPr>
      </w:r>
    </w:p>
    <w:p>
      <w:pPr>
        <w:pStyle w:val="Normal"/>
        <w:spacing w:lineRule="auto" w:line="360" w:before="0" w:after="0"/>
        <w:contextualSpacing/>
        <w:jc w:val="both"/>
        <w:rPr>
          <w:color w:val="000000"/>
        </w:rPr>
      </w:pPr>
      <w:r>
        <w:rPr>
          <w:rFonts w:cs="Arial" w:ascii="Arial" w:hAnsi="Arial"/>
          <w:color w:val="000000"/>
          <w:sz w:val="22"/>
          <w:szCs w:val="22"/>
          <w:lang w:val="es-ES"/>
        </w:rPr>
        <w:t>En este apartado se recogen las acciones a impulsar en la comarca que, si bien no han sido incluidas en el PGA del PCDR, son consideradas importantes para el desarrollo de la misma.</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19"/>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ind w:hanging="426" w:left="426"/>
        <w:jc w:val="both"/>
        <w:rPr>
          <w:color w:val="000000"/>
        </w:rPr>
      </w:pPr>
      <w:bookmarkStart w:id="22" w:name="_Toc163265389"/>
      <w:r>
        <w:rPr>
          <w:color w:val="000000"/>
        </w:rPr>
        <w:t>ANEXOS</w:t>
      </w:r>
      <w:bookmarkEnd w:id="22"/>
    </w:p>
    <w:p>
      <w:pPr>
        <w:pStyle w:val="Normal"/>
        <w:rPr>
          <w:color w:val="000000"/>
        </w:rPr>
      </w:pPr>
      <w:r>
        <w:rPr>
          <w:color w:val="000000"/>
        </w:rPr>
      </w:r>
    </w:p>
    <w:p>
      <w:pPr>
        <w:pStyle w:val="1Texto"/>
        <w:numPr>
          <w:ilvl w:val="0"/>
          <w:numId w:val="3"/>
        </w:numPr>
        <w:ind w:hanging="360" w:left="709"/>
        <w:rPr>
          <w:color w:val="000000"/>
        </w:rPr>
      </w:pPr>
      <w:r>
        <w:rPr>
          <w:rFonts w:cs="Arial"/>
          <w:b/>
          <w:bCs/>
          <w:color w:val="000000"/>
          <w:sz w:val="22"/>
          <w:szCs w:val="22"/>
          <w:lang w:val="es-ES_tradnl"/>
        </w:rPr>
        <w:t>Anexo 1</w:t>
      </w:r>
      <w:r>
        <w:rPr>
          <w:rFonts w:cs="Arial"/>
          <w:color w:val="000000"/>
          <w:sz w:val="22"/>
          <w:szCs w:val="22"/>
          <w:lang w:val="es-ES_tradnl"/>
        </w:rPr>
        <w:t xml:space="preserve">: </w:t>
      </w:r>
      <w:r>
        <w:rPr>
          <w:rFonts w:cs="Arial"/>
          <w:color w:val="000000"/>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color w:val="000000"/>
              </w:rPr>
            </w:pPr>
            <w:r>
              <w:rPr>
                <w:rFonts w:cs="Arial" w:ascii="Arial" w:hAnsi="Arial"/>
                <w:b/>
                <w:bCs/>
                <w:color w:val="000000"/>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color w:val="000000"/>
              </w:rPr>
            </w:pPr>
            <w:r>
              <w:rPr>
                <w:rFonts w:cs="Arial" w:ascii="Arial" w:hAnsi="Arial"/>
                <w:color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color w:val="000000"/>
          <w:lang w:val="es-ES"/>
        </w:rPr>
      </w:pPr>
      <w:r>
        <w:rPr>
          <w:color w:val="000000"/>
          <w:lang w:val="es-ES"/>
        </w:rPr>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LibreOffice/25.2.5.2$Windows_X86_64 LibreOffice_project/03d19516eb2e1dd5d4ccd751a0d6f35f35e08022</Application>
  <AppVersion>15.0000</AppVersion>
  <Pages>9</Pages>
  <Words>1170</Words>
  <Characters>7285</Characters>
  <CharactersWithSpaces>8248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2025-10-16T07:59:54Z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