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t xml:space="preserve">PLAN DE GESTIÓN ANUAL DE LA ADR </w:t>
      </w:r>
      <w:r>
        <w:rPr>
          <w:rFonts w:cs="Arial"/>
          <w:b/>
          <w:bCs/>
          <w:i w:val="false"/>
          <w:iCs w:val="false"/>
          <w:color w:themeColor="accent5" w:val="A02B93"/>
          <w:sz w:val="40"/>
          <w:szCs w:val="40"/>
          <w:lang w:val="es-ES"/>
        </w:rPr>
        <w:t xml:space="preserve">{nComarca} </w:t>
      </w:r>
    </w:p>
    <w:p>
      <w:pPr>
        <w:pStyle w:val="Normal"/>
        <w:rPr>
          <w:rFonts w:cs="Arial"/>
          <w:b/>
          <w:bCs/>
          <w:sz w:val="40"/>
          <w:szCs w:val="40"/>
        </w:rPr>
      </w:pPr>
      <w:r>
        <w:rPr>
          <w:rFonts w:cs="Arial"/>
          <w:b/>
          <w:bCs/>
          <w:sz w:val="40"/>
          <w:szCs w:val="40"/>
        </w:rPr>
      </w:r>
    </w:p>
    <w:p>
      <w:pPr>
        <w:pStyle w:val="Normal"/>
        <w:rPr>
          <w:rFonts w:cs="Arial"/>
          <w:b/>
          <w:bCs/>
          <w:i/>
          <w:i/>
          <w:iCs/>
          <w:color w:themeColor="accent5" w:val="A02B93"/>
          <w:sz w:val="40"/>
          <w:szCs w:val="40"/>
          <w:lang w:val="es-ES"/>
        </w:rPr>
      </w:pPr>
      <w:r>
        <w:rPr>
          <w:rFonts w:cs="Arial"/>
          <w:b/>
          <w:bCs/>
          <w:sz w:val="40"/>
          <w:szCs w:val="40"/>
          <w:lang w:val="es-ES"/>
        </w:rPr>
        <w:t xml:space="preserve">COMARCA </w:t>
      </w:r>
      <w:r>
        <w:rPr>
          <w:rFonts w:cs="Arial"/>
          <w:b/>
          <w:bCs/>
          <w:i/>
          <w:iCs/>
          <w:color w:themeColor="accent5" w:val="A02B93"/>
          <w:sz w:val="40"/>
          <w:szCs w:val="40"/>
          <w:lang w:val="es-ES"/>
        </w:rPr>
        <w:t xml:space="preserve">{nComarca}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t xml:space="preserve">Año </w:t>
      </w:r>
      <w:r>
        <w:rPr>
          <w:rFonts w:cs="Arial"/>
          <w:b/>
          <w:bCs/>
          <w:i/>
          <w:iCs/>
          <w:color w:themeColor="accent5" w:val="A02B93"/>
          <w:sz w:val="40"/>
          <w:szCs w:val="40"/>
          <w:lang w:val="es-ES"/>
        </w:rPr>
        <w:t xml:space="preserve">{anioComarca}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8425385">
            <w:r>
              <w:rPr>
                <w:webHidden/>
                <w:rStyle w:val="Enlacedelndice"/>
                <w:vanish w:val="false"/>
              </w:rPr>
              <w:t>1.</w:t>
            </w:r>
            <w:r>
              <w:rPr>
                <w:webHidden/>
              </w:rPr>
              <w:fldChar w:fldCharType="begin"/>
            </w:r>
            <w:r>
              <w:rPr>
                <w:webHidden/>
              </w:rPr>
              <w:instrText xml:space="preserve">PAGEREF _Toc208425385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rPr>
              <w:t>2.</w:t>
              <w:tab/>
              <w:t>FUNCIONAMIENTO GENERAL DE LA ADR</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rPr>
              <w:t>3.</w:t>
              <w:tab/>
              <w:t>SERVICIOS PRESTADOS POR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rPr>
              <w:t>4.</w:t>
              <w:tab/>
              <w:t>PLAN DE GESTIÓN ANUAL DEL PCDR: PRIORIZACIÓN DE EJES Y ACCIONES ASOCIADAS</w:t>
              <w:tab/>
              <w:t>3</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rPr>
              <w:t>4.1. PROCESO</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rPr>
              <w:t>4.2. EJES PRIORITARIOS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rPr>
              <w:t>4.3. RESUMEN Y ENCAJE DE LAS ACCIONES EN EL PCDR</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rPr>
              <w:t>5.</w:t>
              <w:tab/>
              <w:t>ACCIONES Y PROYECTOS</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rPr>
              <w:t>6.</w:t>
              <w:tab/>
              <w:t>ANEXOS</w:t>
              <w:tab/>
              <w:t>7</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208425385"/>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Así, este documento recoge las acciones en favor del desarrollo rural en la comarca de XXX 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3" w:name="_Toc1804394048"/>
      <w:r>
        <w:rPr/>
        <w:t>FUNCIONAMIENTO GENERAL DE LA ADR</w:t>
      </w:r>
      <w:bookmarkEnd w:id="3"/>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66"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rPr>
            </w:pPr>
            <w:r>
              <w:rPr>
                <w:rFonts w:cs="Arial" w:ascii="Arial" w:hAnsi="Arial"/>
                <w:color w:themeColor="text1"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sz w:val="22"/>
                <w:szCs w:val="22"/>
              </w:rPr>
            </w:pPr>
            <w:r>
              <w:rPr>
                <w:rFonts w:cs="Arial" w:ascii="Arial" w:hAnsi="Arial"/>
                <w:color w:themeColor="text1" w:val="000000"/>
                <w:sz w:val="22"/>
                <w:szCs w:val="22"/>
                <w:lang w:bidi="ar-SA"/>
              </w:rPr>
              <w:t xml:space="preserve">Comunicación de la ADR (difusión de actividades propias, elaboración de notas de prensa, recepción de </w:t>
            </w:r>
            <w:r>
              <w:rPr>
                <w:rFonts w:cs="Arial" w:ascii="Arial" w:hAnsi="Arial"/>
                <w:sz w:val="22"/>
                <w:szCs w:val="22"/>
                <w:lang w:bidi="ar-SA"/>
              </w:rPr>
              <w:t>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rFonts w:ascii="Arial" w:hAnsi="Arial" w:cs="Arial"/>
                <w:i/>
                <w:i/>
                <w:iCs/>
                <w:color w:themeColor="accent5" w:val="A02B93"/>
                <w:sz w:val="22"/>
                <w:szCs w:val="22"/>
                <w:u w:val="none"/>
                <w:lang w:val="es-ES"/>
              </w:rPr>
            </w:pPr>
            <w:r>
              <w:rPr>
                <w:rFonts w:cs="Arial" w:ascii="Arial" w:hAnsi="Arial"/>
                <w:i/>
                <w:iCs/>
                <w:color w:themeColor="accent5" w:val="A02B93"/>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INDICADORES OPERATIVOS</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sz w:val="22"/>
                <w:szCs w:val="22"/>
                <w:lang w:bidi="ar-SA"/>
              </w:rPr>
              <w:t>Indicador</w:t>
            </w:r>
          </w:p>
        </w:tc>
        <w:tc>
          <w:tcPr>
            <w:tcW w:w="583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sz w:val="22"/>
                <w:szCs w:val="22"/>
                <w:lang w:bidi="ar-SA"/>
              </w:rPr>
              <w:t>Valor previsto</w:t>
            </w:r>
          </w:p>
        </w:tc>
      </w:tr>
      <w:tr>
        <w:trPr/>
        <w:tc>
          <w:tcPr>
            <w:tcW w:w="3236" w:type="dxa"/>
            <w:tcBorders/>
            <w:vAlign w:val="center"/>
          </w:tcPr>
          <w:p>
            <w:pPr>
              <w:pStyle w:val="Normal"/>
              <w:widowControl/>
              <w:suppressAutoHyphens w:val="true"/>
              <w:spacing w:before="0" w:after="0"/>
              <w:jc w:val="left"/>
              <w:rPr>
                <w:rFonts w:ascii="Arial" w:hAnsi="Arial"/>
                <w:i/>
                <w:i/>
                <w:iCs/>
                <w:color w:val="A02B93"/>
              </w:rPr>
            </w:pPr>
            <w:r>
              <w:rPr>
                <w:rFonts w:ascii="Arial" w:hAnsi="Arial"/>
                <w:i/>
                <w:iCs/>
                <w:color w:val="A02B93"/>
              </w:rPr>
              <w:t>{#indicadoresOperativos}{nombre}</w:t>
            </w:r>
          </w:p>
        </w:tc>
        <w:tc>
          <w:tcPr>
            <w:tcW w:w="5830" w:type="dxa"/>
            <w:tcBorders/>
            <w:vAlign w:val="center"/>
          </w:tcPr>
          <w:p>
            <w:pPr>
              <w:pStyle w:val="Normal"/>
              <w:widowControl/>
              <w:suppressAutoHyphens w:val="true"/>
              <w:spacing w:before="0" w:after="0"/>
              <w:jc w:val="right"/>
              <w:rPr>
                <w:rFonts w:ascii="Arial" w:hAnsi="Arial"/>
                <w:i/>
                <w:i/>
                <w:iCs/>
                <w:color w:val="A02B93"/>
              </w:rPr>
            </w:pPr>
            <w:r>
              <w:rPr>
                <w:rFonts w:ascii="Arial" w:hAnsi="Arial"/>
                <w:i/>
                <w:iCs/>
                <w:color w:val="A02B93"/>
              </w:rPr>
              <w:t>{value}{/indicadoresOperativos}</w:t>
            </w:r>
          </w:p>
        </w:tc>
      </w:tr>
    </w:tbl>
    <w:p>
      <w:pPr>
        <w:pStyle w:val="Heading1"/>
        <w:numPr>
          <w:ilvl w:val="0"/>
          <w:numId w:val="2"/>
        </w:numPr>
        <w:ind w:hanging="426" w:left="426"/>
        <w:rPr/>
      </w:pPr>
      <w:bookmarkStart w:id="4" w:name="_Toc1704689602"/>
      <w:r>
        <w:rPr/>
        <w:t>SERVICIOS PRESTADOS POR LA ADR</w:t>
      </w:r>
      <w:bookmarkEnd w:id="4"/>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A continuación, se describen los servicios a prestar por la ADR:</w:t>
      </w:r>
    </w:p>
    <w:p>
      <w:pPr>
        <w:pStyle w:val="Normal"/>
        <w:rPr>
          <w:rFonts w:ascii="Arial" w:hAnsi="Arial" w:cs="Arial"/>
          <w:sz w:val="22"/>
          <w:szCs w:val="22"/>
          <w:lang w:val="es-ES"/>
        </w:rPr>
      </w:pPr>
      <w:r>
        <w:rPr>
          <w:rFonts w:cs="Arial" w:ascii="Arial" w:hAnsi="Arial"/>
          <w:sz w:val="22"/>
          <w:szCs w:val="22"/>
          <w:lang w:val="es-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s="Arial" w:ascii="Arial" w:hAnsi="Arial"/>
          <w:i/>
          <w:iCs/>
          <w:color w:themeColor="accent5" w:themeShade="bf" w:val="77206D"/>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5" w:name="_Hlk190431626"/>
            <w:bookmarkEnd w:id="5"/>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6" w:name="_Hlk190431626_Copia_1"/>
            <w:bookmarkEnd w:id="6"/>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commentRangeStart w:id="0"/>
            <w:r>
              <w:rPr>
                <w:rFonts w:cs="Arial" w:ascii="Arial" w:hAnsi="Arial"/>
                <w:b/>
                <w:bCs/>
                <w:sz w:val="22"/>
                <w:szCs w:val="22"/>
                <w:highlight w:val="yellow"/>
                <w:lang w:val="es-ES" w:bidi="ar-SA"/>
              </w:rPr>
              <w:t>Meta anual</w:t>
            </w:r>
            <w:commentRangeEnd w:id="0"/>
            <w:r>
              <w:commentReference w:id="0"/>
            </w:r>
            <w:r>
              <w:rPr>
                <w:rFonts w:cs="Arial" w:ascii="Arial" w:hAnsi="Arial"/>
                <w:b/>
                <w:bCs/>
                <w:sz w:val="22"/>
                <w:szCs w:val="22"/>
                <w:highlight w:val="yellow"/>
                <w:lang w:val="es-ES" w:bidi="ar-SA"/>
              </w:rPr>
            </w:r>
            <w:bookmarkStart w:id="7" w:name="_Hlk190431666"/>
            <w:bookmarkEnd w:id="7"/>
          </w:p>
        </w:tc>
      </w:tr>
      <w:tr>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4402" w:type="dxa"/>
            <w:tcBorders/>
            <w:vAlign w:val="center"/>
          </w:tcPr>
          <w:p>
            <w:pPr>
              <w:pStyle w:val="Normal"/>
              <w:widowControl/>
              <w:suppressAutoHyphens w:val="true"/>
              <w:spacing w:before="0" w:after="0"/>
              <w:jc w:val="right"/>
              <w:rPr>
                <w:rFonts w:ascii="Arial" w:hAnsi="Arial" w:cs="Arial"/>
                <w:sz w:val="22"/>
                <w:szCs w:val="22"/>
              </w:rPr>
            </w:pPr>
            <w:bookmarkStart w:id="8" w:name="_Hlk190431515"/>
            <w:bookmarkEnd w:id="8"/>
            <w:r>
              <w:rPr>
                <w:rFonts w:cs="Arial" w:ascii="Arial" w:hAnsi="Arial"/>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highlight w:val="yellow"/>
                <w:lang w:val="es-ES" w:bidi="ar-SA"/>
              </w:rPr>
              <w:t>Meta anual</w:t>
            </w:r>
          </w:p>
        </w:tc>
      </w:tr>
      <w:tr>
        <w:trPr/>
        <w:tc>
          <w:tcPr>
            <w:tcW w:w="4664" w:type="dxa"/>
            <w:tcBorders/>
          </w:tcPr>
          <w:p>
            <w:pPr>
              <w:pStyle w:val="Normal"/>
              <w:widowControl/>
              <w:suppressAutoHyphens w:val="true"/>
              <w:spacing w:before="0" w:after="0"/>
              <w:jc w:val="left"/>
              <w:rPr>
                <w:rFonts w:ascii="Arial" w:hAnsi="Arial" w:cs="Arial"/>
                <w:sz w:val="22"/>
                <w:szCs w:val="22"/>
              </w:rPr>
            </w:pPr>
            <w:r>
              <w:rPr>
                <w:rFonts w:cs="Arial" w:ascii="Arial" w:hAnsi="Arial"/>
                <w:sz w:val="22"/>
                <w:szCs w:val="22"/>
              </w:rPr>
            </w:r>
          </w:p>
        </w:tc>
        <w:tc>
          <w:tcPr>
            <w:tcW w:w="4402" w:type="dxa"/>
            <w:tcBorders/>
          </w:tcPr>
          <w:p>
            <w:pPr>
              <w:pStyle w:val="Normal"/>
              <w:widowControl/>
              <w:suppressAutoHyphens w:val="true"/>
              <w:spacing w:before="0" w:after="0"/>
              <w:jc w:val="right"/>
              <w:rPr>
                <w:rFonts w:ascii="Arial" w:hAnsi="Arial" w:cs="Arial"/>
                <w:sz w:val="22"/>
                <w:szCs w:val="22"/>
              </w:rPr>
            </w:pPr>
            <w:r>
              <w:rPr>
                <w:rFonts w:cs="Arial" w:ascii="Arial" w:hAnsi="Arial"/>
                <w:sz w:val="22"/>
                <w:szCs w:val="22"/>
              </w:rPr>
            </w:r>
            <w:bookmarkStart w:id="9" w:name="_Hlk190429618"/>
            <w:bookmarkStart w:id="10" w:name="_Hlk190429618"/>
            <w:bookmarkEnd w:id="10"/>
          </w:p>
        </w:tc>
      </w:tr>
    </w:tbl>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i/>
          <w:iCs/>
          <w:color w:themeColor="accent5" w:themeShade="bf" w:val="77206D"/>
          <w:sz w:val="22"/>
          <w:szCs w:val="22"/>
          <w:lang w:val="es-ES" w:eastAsia="en-US"/>
        </w:rPr>
        <w:t>{/fichasServicio}</w:t>
      </w:r>
    </w:p>
    <w:p>
      <w:pPr>
        <w:pStyle w:val="Heading1"/>
        <w:numPr>
          <w:ilvl w:val="0"/>
          <w:numId w:val="2"/>
        </w:numPr>
        <w:ind w:hanging="426" w:left="426"/>
        <w:jc w:val="both"/>
        <w:rPr/>
      </w:pPr>
      <w:bookmarkStart w:id="11" w:name="_Toc42913535"/>
      <w:r>
        <w:rPr/>
        <w:t>PLAN DE GESTIÓN ANUAL DEL PCDR: PRIORIZACIÓN DE EJES Y ACCIONES ASOCIADAS</w:t>
      </w:r>
      <w:bookmarkEnd w:id="11"/>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el plan de gestión del PCDR de</w:t>
      </w:r>
      <w:r>
        <w:rPr>
          <w:rFonts w:cs="Arial" w:ascii="Arial" w:hAnsi="Arial"/>
          <w:b/>
          <w:bCs/>
          <w:color w:themeColor="accent2" w:val="E97132"/>
          <w:sz w:val="22"/>
          <w:szCs w:val="22"/>
        </w:rPr>
        <w:t xml:space="preserve"> </w:t>
      </w:r>
      <w:r>
        <w:rPr>
          <w:rFonts w:cs="Arial" w:ascii="Arial" w:hAnsi="Arial"/>
          <w:b/>
          <w:bCs/>
          <w:i/>
          <w:iCs/>
          <w:color w:themeColor="accent5" w:val="A02B93"/>
          <w:sz w:val="22"/>
          <w:szCs w:val="22"/>
          <w:lang w:val="es-ES"/>
        </w:rPr>
        <w:t>{nComarca} {anioComarca}</w:t>
      </w:r>
      <w:r>
        <w:rPr>
          <w:rFonts w:cs="Arial" w:ascii="Arial" w:hAnsi="Arial"/>
          <w:b/>
          <w:bCs/>
          <w:color w:themeColor="accent5" w:val="A02B93"/>
          <w:sz w:val="22"/>
          <w:szCs w:val="22"/>
        </w:rPr>
        <w:t xml:space="preserve">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 </w:t>
      </w:r>
      <w:r>
        <w:rPr>
          <w:rFonts w:cs="Arial" w:ascii="Arial" w:hAnsi="Arial"/>
          <w:sz w:val="22"/>
          <w:szCs w:val="22"/>
        </w:rPr>
        <w:t>del documento que recoge la metodología de elaboración, ejecución y seguimiento de los mismos.</w:t>
      </w:r>
    </w:p>
    <w:p>
      <w:pPr>
        <w:pStyle w:val="Heading2"/>
        <w:rPr>
          <w:lang w:val="es-ES"/>
        </w:rPr>
      </w:pPr>
      <w:bookmarkStart w:id="12" w:name="_Toc259807886"/>
      <w:r>
        <w:rPr>
          <w:lang w:val="es-ES"/>
        </w:rPr>
        <w:t>4.1. PROCESO</w:t>
      </w:r>
      <w:bookmarkEnd w:id="12"/>
      <w:r>
        <w:rPr>
          <w:lang w:val="es-ES"/>
        </w:rPr>
        <w:t xml:space="preserve">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Añadir información sobre cómo ha sido el proceso de elaboración del PGA en cada comarca, desde el proceso de selección de ejes prioritarios a la identificación propia de las acciones transformadoras, contextualizando así cada PGA y recoger algunos de los aspectos del apartado “2 introducción” del anexo VII de la Metodología para la elaboración de los PCDR.</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Además, se podrán recoger los aspectos ligados a la Gobernanza que se van a llevar a cabo este año (mesas de trabajo, etc.).</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spacing w:lineRule="auto" w:line="360" w:before="0" w:after="0"/>
        <w:contextualSpacing/>
        <w:jc w:val="both"/>
        <w:rPr>
          <w:rFonts w:ascii="Arial" w:hAnsi="Arial"/>
          <w:i/>
          <w:i/>
          <w:iCs/>
          <w:color w:val="A02B93"/>
        </w:rPr>
      </w:pPr>
      <w:r>
        <w:rPr>
          <w:rFonts w:ascii="Arial" w:hAnsi="Arial"/>
          <w:i/>
          <w:iCs/>
          <w:color w:val="A02B93"/>
        </w:rPr>
        <w:t>{proceso}</w:t>
      </w:r>
    </w:p>
    <w:p>
      <w:pPr>
        <w:pStyle w:val="Heading2"/>
        <w:rPr>
          <w:lang w:val="es-ES"/>
        </w:rPr>
      </w:pPr>
      <w:bookmarkStart w:id="13" w:name="_Toc320360495"/>
      <w:r>
        <w:rPr>
          <w:lang w:val="es-ES"/>
        </w:rPr>
        <w:t>4.2. EJES PRIORITARIOS</w:t>
      </w:r>
      <w:bookmarkEnd w:id="13"/>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cs="Arial" w:ascii="Arial" w:hAnsi="Arial"/>
          <w:i/>
          <w:iCs/>
          <w:color w:themeColor="accent5" w:val="A02B93"/>
          <w:sz w:val="22"/>
          <w:szCs w:val="22"/>
          <w:lang w:val="es-ES"/>
        </w:rPr>
        <w:t>20XX</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{eje1}</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{eje2}</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{eje3}</w:t>
      </w:r>
    </w:p>
    <w:p>
      <w:pPr>
        <w:pStyle w:val="Heading2"/>
        <w:rPr>
          <w:lang w:val="es-ES"/>
        </w:rPr>
      </w:pPr>
      <w:bookmarkStart w:id="14" w:name="_Toc854836156"/>
      <w:r>
        <w:rPr>
          <w:lang w:val="es-ES"/>
        </w:rPr>
        <w:t>4.3. RESUMEN Y ENCAJE DE LAS ACCIONES EN EL PCDR</w:t>
      </w:r>
      <w:bookmarkEnd w:id="14"/>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cs="Arial" w:ascii="Arial" w:hAnsi="Arial"/>
          <w:b w:val="false"/>
          <w:bCs w:val="false"/>
          <w:i/>
          <w:iCs/>
          <w:color w:themeColor="accent5" w:val="A02B93"/>
          <w:sz w:val="22"/>
          <w:szCs w:val="22"/>
          <w:lang w:val="es-ES"/>
        </w:rPr>
        <w:t>{nComarca}</w:t>
      </w:r>
      <w:r>
        <w:rPr>
          <w:rFonts w:cs="Arial" w:ascii="Arial" w:hAnsi="Arial"/>
          <w:b/>
          <w:bCs/>
          <w:i/>
          <w:iCs/>
          <w:color w:themeColor="accent5" w:val="A02B93"/>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Eje</w:t>
            </w:r>
          </w:p>
        </w:tc>
        <w:tc>
          <w:tcPr>
            <w:tcW w:w="2830"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Acción</w:t>
            </w:r>
          </w:p>
        </w:tc>
      </w:tr>
      <w:tr>
        <w:trPr/>
        <w:tc>
          <w:tcPr>
            <w:tcW w:w="2829" w:type="dxa"/>
            <w:tcBorders>
              <w:left w:val="nil"/>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i/>
                <w:i/>
                <w:iCs/>
                <w:color w:val="A02B93"/>
              </w:rPr>
            </w:pPr>
            <w:r>
              <w:rPr>
                <w:i/>
                <w:iCs/>
                <w:color w:val="A02B93"/>
                <w:lang w:bidi="ar-SA"/>
              </w:rPr>
              <w:t>{lineaActuaccion}</w:t>
            </w:r>
          </w:p>
        </w:tc>
        <w:tc>
          <w:tcPr>
            <w:tcW w:w="2830" w:type="dxa"/>
            <w:tcBorders>
              <w:left w:val="nil"/>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lang w:val="es-ES" w:bidi="ar-SA"/>
              </w:rPr>
              <w:t>{accion}</w:t>
            </w:r>
            <w:r>
              <w:rPr>
                <w:rFonts w:cs="Arial" w:ascii="Arial" w:hAnsi="Arial"/>
                <w:i/>
                <w:iCs/>
                <w:color w:val="A02B93"/>
                <w:sz w:val="22"/>
                <w:szCs w:val="22"/>
                <w:lang w:bidi="ar-SA"/>
              </w:rPr>
              <w:t>{/acciones}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5" w:name="_Toc599842710"/>
      <w:r>
        <w:rPr>
          <w:lang w:val="es-ES"/>
        </w:rPr>
        <w:t>4.4. DESCRIPCIÓN DE LAS ACCIONES PREVISTAS PARA LA ANUALIDAD</w:t>
      </w:r>
      <w:bookmarkEnd w:id="15"/>
    </w:p>
    <w:p>
      <w:pPr>
        <w:pStyle w:val="1Texto"/>
        <w:rPr>
          <w:b w:val="false"/>
          <w:bCs w:val="false"/>
          <w:i/>
          <w:i/>
          <w:iCs/>
          <w:color w:val="A02B93"/>
        </w:rPr>
      </w:pPr>
      <w:r>
        <w:rPr>
          <w:b w:val="false"/>
          <w:bCs w:val="false"/>
          <w:i/>
          <w:iCs/>
          <w:color w:val="A02B93"/>
        </w:rPr>
        <w:t>{</w:t>
      </w:r>
      <w:r>
        <w:rPr>
          <w:b w:val="false"/>
          <w:bCs w:val="false"/>
          <w:i/>
          <w:iCs/>
          <w:color w:val="A02B93"/>
          <w:lang w:bidi="ar-SA"/>
        </w:rPr>
        <w:t>#resumenAccion</w:t>
      </w:r>
      <w:r>
        <w:rPr>
          <w:b w:val="false"/>
          <w:bCs w:val="false"/>
          <w:i/>
          <w:iCs/>
          <w:color w:val="A02B93"/>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rFonts w:ascii="Arial" w:hAnsi="Arial" w:eastAsia="SimSun" w:cs="Arial"/>
                <w:sz w:val="22"/>
                <w:szCs w:val="22"/>
                <w:lang w:val="es-ES" w:eastAsia="en-US"/>
              </w:rPr>
            </w:pPr>
            <w:r>
              <w:rPr>
                <w:rFonts w:eastAsia="SimSun" w:cs="Arial" w:ascii="Arial" w:hAnsi="Arial"/>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shd w:fill="auto" w:val="clear"/>
                <w:lang w:bidi="ar-SA"/>
              </w:rPr>
              <w:t>{p</w:t>
            </w:r>
            <w:r>
              <w:rPr>
                <w:rFonts w:eastAsia="SimSun" w:cs="Arial"/>
                <w:i/>
                <w:iCs/>
                <w:color w:val="A02B93"/>
                <w:sz w:val="22"/>
                <w:szCs w:val="22"/>
                <w:shd w:fill="auto" w:val="clear"/>
                <w:lang w:val="es-ES" w:eastAsia="en-US" w:bidi="ar-SA"/>
              </w:rPr>
              <w:t>lurianual</w:t>
            </w:r>
            <w:r>
              <w:rPr>
                <w:rFonts w:cs="Arial"/>
                <w:i/>
                <w:iCs/>
                <w:color w:val="A02B93"/>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6" w:name="_Hlk193184853"/>
    </w:p>
    <w:p>
      <w:pPr>
        <w:pStyle w:val="1Texto"/>
        <w:pBdr>
          <w:top w:val="single" w:sz="4" w:space="1" w:color="000000"/>
          <w:left w:val="single" w:sz="4" w:space="4" w:color="000000"/>
          <w:bottom w:val="single" w:sz="4" w:space="1" w:color="000000"/>
          <w:right w:val="single" w:sz="4" w:space="4" w:color="000000"/>
        </w:pBdr>
        <w:rPr>
          <w:color w:val="A02B93"/>
        </w:rPr>
      </w:pPr>
      <w:bookmarkEnd w:id="16"/>
      <w:r>
        <w:rPr>
          <w:color w:val="A02B93"/>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color w:val="A02B93"/>
        </w:rPr>
        <w:t>{</w:t>
      </w:r>
      <w:r>
        <w:rPr>
          <w:i/>
          <w:iCs/>
          <w:color w:val="A02B93"/>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7" w:name="_Hlk194316965"/>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bookmarkEnd w:id="17"/>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{dInteligent}</w:t>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b w:val="false"/>
          <w:bCs w:val="false"/>
          <w:i/>
          <w:i/>
          <w:iCs/>
          <w:color w:val="A02B93"/>
        </w:rPr>
      </w:pPr>
      <w:r>
        <w:rPr>
          <w:b w:val="false"/>
          <w:bCs w:val="false"/>
          <w:i/>
          <w:iCs/>
          <w:color w:val="A02B93"/>
        </w:rPr>
        <w:t>{ods}</w:t>
      </w:r>
    </w:p>
    <w:p>
      <w:pPr>
        <w:pStyle w:val="1Texto"/>
        <w:rPr>
          <w:rFonts w:cs="Arial"/>
          <w:i/>
          <w:i/>
          <w:iCs/>
          <w:color w:themeColor="accent5" w:val="A02B93"/>
          <w:sz w:val="22"/>
          <w:szCs w:val="22"/>
          <w:lang w:val="es-ES_tradnl"/>
        </w:rPr>
      </w:pPr>
      <w:r>
        <w:rPr>
          <w:rFonts w:cs="Arial"/>
          <w:sz w:val="22"/>
          <w:szCs w:val="22"/>
        </w:rPr>
        <w:t xml:space="preserve">Presupuesto </w:t>
      </w:r>
      <w:r>
        <w:rPr>
          <w:rFonts w:cs="Arial"/>
          <w:i/>
          <w:iCs/>
          <w:color w:themeColor="accent5" w:val="A02B93"/>
          <w:sz w:val="22"/>
          <w:szCs w:val="22"/>
          <w:lang w:val="es-ES_tradnl"/>
        </w:rPr>
        <w:t>(en los casos que proceda o se disponga de la información)</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68" w:type="dxa"/>
        <w:jc w:val="left"/>
        <w:tblInd w:w="-42" w:type="dxa"/>
        <w:tblLayout w:type="fixed"/>
        <w:tblCellMar>
          <w:top w:w="0" w:type="dxa"/>
          <w:left w:w="108" w:type="dxa"/>
          <w:bottom w:w="0" w:type="dxa"/>
          <w:right w:w="108" w:type="dxa"/>
        </w:tblCellMar>
        <w:tblLook w:firstRow="1" w:noVBand="1" w:lastRow="0" w:firstColumn="1" w:lastColumn="0" w:noHBand="0" w:val="04a0"/>
      </w:tblPr>
      <w:tblGrid>
        <w:gridCol w:w="2160"/>
        <w:gridCol w:w="1950"/>
        <w:gridCol w:w="1845"/>
        <w:gridCol w:w="1395"/>
        <w:gridCol w:w="1718"/>
      </w:tblGrid>
      <w:tr>
        <w:trPr/>
        <w:tc>
          <w:tcPr>
            <w:tcW w:w="216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1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60"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{#indicadoresRealizacion}{nombre}</w:t>
            </w:r>
          </w:p>
        </w:tc>
        <w:tc>
          <w:tcPr>
            <w:tcW w:w="1950"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4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39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718"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{anualidadMetaFinal}{/indicadoresRealizacion}</w:t>
            </w:r>
          </w:p>
        </w:tc>
      </w:tr>
      <w:tr>
        <w:trPr/>
        <w:tc>
          <w:tcPr>
            <w:tcW w:w="216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95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1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60"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{#indicadoresResultado}{nombre}</w:t>
            </w:r>
          </w:p>
        </w:tc>
        <w:tc>
          <w:tcPr>
            <w:tcW w:w="1950"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4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39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718"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{anualidadMetaFinal}{/indicadoresResultado}</w:t>
            </w:r>
          </w:p>
        </w:tc>
      </w:tr>
    </w:tbl>
    <w:p>
      <w:pPr>
        <w:pStyle w:val="1Texto"/>
        <w:rPr>
          <w:rFonts w:cs="Arial"/>
          <w:color w:val="auto"/>
          <w:sz w:val="22"/>
          <w:szCs w:val="22"/>
        </w:rPr>
      </w:pPr>
      <w:bookmarkStart w:id="18"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18"/>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{observaciones}</w:t>
      </w:r>
    </w:p>
    <w:p>
      <w:pPr>
        <w:pStyle w:val="Normal"/>
        <w:rPr/>
      </w:pPr>
      <w:r>
        <w:rPr/>
      </w:r>
    </w:p>
    <w:p>
      <w:pPr>
        <w:pStyle w:val="Normal"/>
        <w:rPr/>
      </w:pPr>
      <w:r>
        <w:rPr/>
      </w:r>
    </w:p>
    <w:p>
      <w:pPr>
        <w:pStyle w:val="Normal"/>
        <w:rPr/>
      </w:pPr>
      <w:r>
        <w:rPr/>
      </w:r>
    </w:p>
    <w:p>
      <w:pPr>
        <w:pStyle w:val="1Texto"/>
        <w:rPr>
          <w:b w:val="false"/>
          <w:bCs w:val="false"/>
        </w:rPr>
      </w:pPr>
      <w:r>
        <w:rPr>
          <w:rFonts w:cs="Arial"/>
          <w:b w:val="false"/>
          <w:bCs w:val="false"/>
          <w:i/>
          <w:iCs/>
          <w:color w:themeColor="accent5" w:val="A02B93"/>
          <w:sz w:val="22"/>
          <w:szCs w:val="22"/>
          <w:lang w:val="es-ES_tradnl"/>
        </w:rPr>
        <w:t>{/</w:t>
      </w:r>
      <w:r>
        <w:rPr>
          <w:rFonts w:cs="Arial"/>
          <w:b w:val="false"/>
          <w:bCs w:val="false"/>
          <w:i/>
          <w:iCs/>
          <w:color w:themeColor="accent5" w:val="A02B93"/>
          <w:sz w:val="22"/>
          <w:szCs w:val="22"/>
          <w:lang w:val="es-ES_tradnl" w:bidi="ar-SA"/>
        </w:rPr>
        <w:t>resumenAccion</w:t>
      </w:r>
      <w:r>
        <w:rPr>
          <w:rFonts w:cs="Arial"/>
          <w:b w:val="false"/>
          <w:bCs w:val="false"/>
          <w:i/>
          <w:iCs/>
          <w:color w:themeColor="accent5" w:val="A02B93"/>
          <w:sz w:val="22"/>
          <w:szCs w:val="22"/>
          <w:lang w:val="es-ES_tradnl"/>
        </w:rPr>
        <w:t>}</w:t>
      </w:r>
    </w:p>
    <w:p>
      <w:pPr>
        <w:pStyle w:val="Normal"/>
        <w:rPr/>
      </w:pPr>
      <w:r>
        <w:rPr/>
      </w:r>
    </w:p>
    <w:p>
      <w:pPr>
        <w:pStyle w:val="Heading1"/>
        <w:numPr>
          <w:ilvl w:val="0"/>
          <w:numId w:val="2"/>
        </w:numPr>
        <w:ind w:hanging="426" w:left="426"/>
        <w:jc w:val="both"/>
        <w:rPr/>
      </w:pPr>
      <w:bookmarkStart w:id="19" w:name="_Toc1916927322"/>
      <w:r>
        <w:rPr/>
        <w:t>ACCIONES Y PROYECTOS</w:t>
      </w:r>
      <w:bookmarkEnd w:id="19"/>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a impulsar en la comarca que, si bien no han sido incluidas en el PGA del PCDR, son consideradas importantes para el desarrollo de la misma.</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t>Utilizar las mismas fichas que las de acción del PCDR (descripción, ejes, etc.) incluyendo indicadores de ejecución y resultado, sin cumplimentar el apartado de las líneas de actuación para aquellas acciones que queden fuera de los 12 ejes estratégicos.</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{comarcal}</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rFonts w:ascii="Arial" w:hAnsi="Arial" w:eastAsia="SimSun" w:cs="Arial"/>
                <w:sz w:val="22"/>
                <w:szCs w:val="22"/>
                <w:lang w:val="es-ES" w:eastAsia="en-US"/>
              </w:rPr>
            </w:pPr>
            <w:r>
              <w:rPr>
                <w:rFonts w:eastAsia="SimSun" w:cs="Arial" w:ascii="Arial" w:hAnsi="Arial"/>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shd w:fill="auto" w:val="clear"/>
                <w:lang w:bidi="ar-SA"/>
              </w:rPr>
              <w:t>{p</w:t>
            </w:r>
            <w:r>
              <w:rPr>
                <w:rFonts w:eastAsia="SimSun" w:cs="Arial"/>
                <w:i/>
                <w:iCs/>
                <w:color w:val="A02B93"/>
                <w:sz w:val="22"/>
                <w:szCs w:val="22"/>
                <w:shd w:fill="auto" w:val="clear"/>
                <w:lang w:val="es-ES" w:eastAsia="en-US" w:bidi="ar-SA"/>
              </w:rPr>
              <w:t>lurianual</w:t>
            </w:r>
            <w:r>
              <w:rPr>
                <w:rFonts w:cs="Arial"/>
                <w:i/>
                <w:iCs/>
                <w:color w:val="A02B93"/>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20" w:name="_Hlk193184853_Copia_1"/>
    </w:p>
    <w:p>
      <w:pPr>
        <w:pStyle w:val="1Texto"/>
        <w:pBdr>
          <w:top w:val="single" w:sz="4" w:space="1" w:color="000000"/>
          <w:left w:val="single" w:sz="4" w:space="4" w:color="000000"/>
          <w:bottom w:val="single" w:sz="4" w:space="1" w:color="000000"/>
          <w:right w:val="single" w:sz="4" w:space="4" w:color="000000"/>
        </w:pBdr>
        <w:rPr>
          <w:color w:val="A02B93"/>
        </w:rPr>
      </w:pPr>
      <w:bookmarkEnd w:id="20"/>
      <w:r>
        <w:rPr>
          <w:color w:val="A02B93"/>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color w:val="A02B93"/>
        </w:rPr>
        <w:t>{</w:t>
      </w:r>
      <w:r>
        <w:rPr>
          <w:i/>
          <w:iCs/>
          <w:color w:val="A02B93"/>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21" w:name="_Hlk194316965_Copia_1"/>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bookmarkEnd w:id="21"/>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{dInteligent}</w:t>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b w:val="false"/>
          <w:bCs w:val="false"/>
          <w:i/>
          <w:i/>
          <w:iCs/>
          <w:color w:val="A02B93"/>
        </w:rPr>
      </w:pPr>
      <w:r>
        <w:rPr>
          <w:b w:val="false"/>
          <w:bCs w:val="false"/>
          <w:i/>
          <w:iCs/>
          <w:color w:val="A02B93"/>
        </w:rPr>
        <w:t>{ods}</w:t>
      </w:r>
    </w:p>
    <w:p>
      <w:pPr>
        <w:pStyle w:val="1Texto"/>
        <w:rPr>
          <w:rFonts w:cs="Arial"/>
          <w:i/>
          <w:i/>
          <w:iCs/>
          <w:color w:themeColor="accent5" w:val="A02B93"/>
          <w:sz w:val="22"/>
          <w:szCs w:val="22"/>
          <w:lang w:val="es-ES_tradnl"/>
        </w:rPr>
      </w:pPr>
      <w:r>
        <w:rPr>
          <w:rFonts w:cs="Arial"/>
          <w:sz w:val="22"/>
          <w:szCs w:val="22"/>
        </w:rPr>
        <w:t xml:space="preserve">Presupuesto </w:t>
      </w:r>
      <w:r>
        <w:rPr>
          <w:rFonts w:cs="Arial"/>
          <w:i/>
          <w:iCs/>
          <w:color w:themeColor="accent5" w:val="A02B93"/>
          <w:sz w:val="22"/>
          <w:szCs w:val="22"/>
          <w:lang w:val="es-ES_tradnl"/>
        </w:rPr>
        <w:t>(en los casos que proceda o se disponga de la información)</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4"/>
        <w:gridCol w:w="1955"/>
        <w:gridCol w:w="1848"/>
        <w:gridCol w:w="1383"/>
        <w:gridCol w:w="1726"/>
      </w:tblGrid>
      <w:tr>
        <w:trPr/>
        <w:tc>
          <w:tcPr>
            <w:tcW w:w="211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{#indicadoresRealizacion}{nombre}</w:t>
            </w:r>
          </w:p>
        </w:tc>
        <w:tc>
          <w:tcPr>
            <w:tcW w:w="195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48"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383"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{anualidadMetaFinal}{/indicadoresRealizacion}</w:t>
            </w:r>
          </w:p>
        </w:tc>
      </w:tr>
      <w:tr>
        <w:trPr/>
        <w:tc>
          <w:tcPr>
            <w:tcW w:w="211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95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{#indicadoresResultado}{nombre}</w:t>
            </w:r>
          </w:p>
        </w:tc>
        <w:tc>
          <w:tcPr>
            <w:tcW w:w="195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48"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383"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{anualidadMetaFinal}{/indicadoresResultado}</w:t>
            </w:r>
          </w:p>
        </w:tc>
      </w:tr>
    </w:tbl>
    <w:p>
      <w:pPr>
        <w:pStyle w:val="1Texto"/>
        <w:rPr>
          <w:rFonts w:cs="Arial"/>
          <w:color w:val="auto"/>
          <w:sz w:val="22"/>
          <w:szCs w:val="22"/>
        </w:rPr>
      </w:pPr>
      <w:bookmarkStart w:id="22"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2"/>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{observaciones}</w:t>
      </w:r>
    </w:p>
    <w:p>
      <w:pPr>
        <w:pStyle w:val="Normal"/>
        <w:rPr/>
      </w:pPr>
      <w:r>
        <w:rPr/>
      </w:r>
    </w:p>
    <w:p>
      <w:pPr>
        <w:pStyle w:val="Normal"/>
        <w:rPr/>
      </w:pPr>
      <w:r>
        <w:rPr/>
      </w:r>
    </w:p>
    <w:p>
      <w:pPr>
        <w:pStyle w:val="Normal"/>
        <w:rPr/>
      </w:pPr>
      <w:r>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Heading1"/>
        <w:numPr>
          <w:ilvl w:val="0"/>
          <w:numId w:val="2"/>
        </w:numPr>
        <w:ind w:hanging="426" w:left="426"/>
        <w:jc w:val="both"/>
        <w:rPr/>
      </w:pPr>
      <w:bookmarkStart w:id="23" w:name="_Toc163265389"/>
      <w:r>
        <w:rPr/>
        <w:t>ANEXOS</w:t>
      </w:r>
      <w:bookmarkEnd w:id="23"/>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sz w:val="22"/>
                <w:szCs w:val="22"/>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{#iRAAnexo1}{nombre}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{hipo}{/iRAAnexo1}</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rPr>
            </w:pPr>
            <w:r>
              <w:rPr>
                <w:rFonts w:cs="Arial" w:ascii="Arial" w:hAnsi="Arial"/>
                <w:sz w:val="22"/>
                <w:szCs w:val="22"/>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rFonts w:ascii="Arial" w:hAnsi="Arial" w:cs="Arial"/>
                <w:sz w:val="22"/>
                <w:szCs w:val="22"/>
              </w:rPr>
            </w:pPr>
            <w:r>
              <w:rPr>
                <w:rFonts w:cs="Arial" w:ascii="Arial" w:hAnsi="Arial"/>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{#iRSAnexo1}{nombre}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19T11:40:00Z" w:initials="TA">
    <w:p>
      <w:pPr>
        <w:overflowPunct w:val="false"/>
        <w:rPr/>
      </w:pPr>
      <w:r>
        <w:annotationRef/>
      </w:r>
      <w:r>
        <w:rPr>
          <w:rFonts w:eastAsia="Segoe UI" w:cs="Tahoma" w:ascii="Liberation Serif" w:hAnsi="Liberation Serif"/>
          <w:lang w:val="en-US" w:eastAsia="en-US" w:bidi="en-US"/>
        </w:rPr>
        <w:t>Hemos cambiado “valor previsto” por “meta anual”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Application>LibreOffice/25.2.5.2$Windows_X86_64 LibreOffice_project/03d19516eb2e1dd5d4ccd751a0d6f35f35e08022</Application>
  <AppVersion>15.0000</AppVersion>
  <Pages>9</Pages>
  <Words>1318</Words>
  <Characters>7948</Characters>
  <CharactersWithSpaces>9055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2025-09-24T09:23:27Z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