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40"/>
          <w:szCs w:val="40"/>
        </w:rPr>
      </w:pPr>
      <w:r>
        <w:rPr>
          <w:b/>
          <w:bCs/>
          <w:sz w:val="40"/>
          <w:szCs w:val="40"/>
        </w:rPr>
        <w:drawing>
          <wp:anchor behindDoc="0" distT="0" distB="0" distL="0" distR="0" simplePos="0" locked="0" layoutInCell="0" allowOverlap="1" relativeHeight="3">
            <wp:simplePos x="0" y="0"/>
            <wp:positionH relativeFrom="column">
              <wp:posOffset>8890</wp:posOffset>
            </wp:positionH>
            <wp:positionV relativeFrom="paragraph">
              <wp:posOffset>209550</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1956435</wp:posOffset>
            </wp:positionH>
            <wp:positionV relativeFrom="paragraph">
              <wp:posOffset>163830</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5">
            <wp:simplePos x="0" y="0"/>
            <wp:positionH relativeFrom="column">
              <wp:posOffset>3721100</wp:posOffset>
            </wp:positionH>
            <wp:positionV relativeFrom="paragraph">
              <wp:posOffset>215900</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p>
    <w:p>
      <w:pPr>
        <w:pStyle w:val="Normal"/>
        <w:rPr>
          <w:b/>
          <w:bCs/>
          <w:sz w:val="40"/>
          <w:szCs w:val="40"/>
        </w:rPr>
      </w:pPr>
      <w:r>
        <w:rPr>
          <w:b/>
          <w:bCs/>
          <w:sz w:val="40"/>
          <w:szCs w:val="40"/>
        </w:rPr>
      </w:r>
    </w:p>
    <w:p>
      <w:pPr>
        <w:pStyle w:val="Normal"/>
        <w:rPr>
          <w:b/>
          <w:bCs/>
          <w:sz w:val="40"/>
          <w:szCs w:val="40"/>
        </w:rPr>
      </w:pPr>
      <w:r>
        <w:rPr>
          <w:b/>
          <w:bCs/>
          <w:sz w:val="40"/>
          <w:szCs w:val="40"/>
        </w:rPr>
        <w:br/>
      </w:r>
    </w:p>
    <w:p>
      <w:pPr>
        <w:pStyle w:val="Normal"/>
        <w:rPr>
          <w:b/>
          <w:bCs/>
          <w:sz w:val="40"/>
          <w:szCs w:val="40"/>
        </w:rPr>
      </w:pPr>
      <w:r>
        <w:rPr>
          <w:b/>
          <w:bCs/>
          <w:sz w:val="40"/>
          <w:szCs w:val="40"/>
        </w:rPr>
      </w:r>
    </w:p>
    <w:p>
      <w:pPr>
        <w:pStyle w:val="Normal"/>
        <w:rPr>
          <w:b/>
          <w:bCs/>
          <w:sz w:val="40"/>
          <w:szCs w:val="40"/>
        </w:rPr>
      </w:pPr>
      <w:r>
        <w:rPr>
          <w:b/>
          <w:bCs/>
          <w:sz w:val="40"/>
          <w:szCs w:val="40"/>
        </w:rPr>
      </w:r>
    </w:p>
    <w:p>
      <w:pPr>
        <w:pStyle w:val="Normal"/>
        <w:jc w:val="center"/>
        <w:rPr>
          <w:b/>
          <w:bCs/>
          <w:sz w:val="40"/>
          <w:szCs w:val="40"/>
        </w:rPr>
      </w:pPr>
      <w:r>
        <w:rPr>
          <w:b/>
          <w:bCs/>
          <w:sz w:val="40"/>
          <w:szCs w:val="40"/>
        </w:rPr>
        <w:t xml:space="preserve">MEMORIA DEL PLAN DE GESTIÓN ANUAL DE LA ADR </w:t>
      </w:r>
      <w:r>
        <w:rPr>
          <w:rFonts w:cs="Arial"/>
          <w:b/>
          <w:bCs/>
          <w:color w:val="000000"/>
          <w:sz w:val="40"/>
          <w:szCs w:val="40"/>
        </w:rPr>
        <w:t xml:space="preserve">{nADR} </w:t>
      </w:r>
    </w:p>
    <w:p>
      <w:pPr>
        <w:pStyle w:val="Normal"/>
        <w:jc w:val="center"/>
        <w:rPr>
          <w:b/>
          <w:bCs/>
          <w:sz w:val="40"/>
          <w:szCs w:val="40"/>
        </w:rPr>
      </w:pPr>
      <w:r>
        <w:rPr>
          <w:b/>
          <w:bCs/>
          <w:sz w:val="40"/>
          <w:szCs w:val="40"/>
        </w:rPr>
      </w:r>
    </w:p>
    <w:p>
      <w:pPr>
        <w:pStyle w:val="Normal"/>
        <w:jc w:val="center"/>
        <w:rPr/>
      </w:pPr>
      <w:r>
        <w:rPr>
          <w:b/>
          <w:bCs/>
          <w:sz w:val="40"/>
          <w:szCs w:val="40"/>
        </w:rPr>
        <w:t>COMARCA {nComarca}</w:t>
      </w:r>
    </w:p>
    <w:p>
      <w:pPr>
        <w:pStyle w:val="Normal"/>
        <w:jc w:val="center"/>
        <w:rPr>
          <w:b/>
          <w:bCs/>
          <w:sz w:val="40"/>
          <w:szCs w:val="40"/>
        </w:rPr>
      </w:pPr>
      <w:r>
        <w:rPr>
          <w:b/>
          <w:bCs/>
          <w:sz w:val="40"/>
          <w:szCs w:val="40"/>
        </w:rPr>
      </w:r>
    </w:p>
    <w:p>
      <w:pPr>
        <w:pStyle w:val="Normal"/>
        <w:jc w:val="center"/>
        <w:rPr/>
      </w:pPr>
      <w:r>
        <w:rPr>
          <w:b/>
          <w:bCs/>
          <w:sz w:val="40"/>
          <w:szCs w:val="40"/>
        </w:rPr>
        <w:t xml:space="preserve">Año {anioComarca} </w:t>
      </w:r>
    </w:p>
    <w:p>
      <w:pPr>
        <w:pStyle w:val="Normal"/>
        <w:rPr>
          <w:b/>
          <w:bCs/>
          <w:sz w:val="40"/>
          <w:szCs w:val="40"/>
        </w:rPr>
      </w:pPr>
      <w:r>
        <w:rPr>
          <w:b/>
          <w:bCs/>
          <w:sz w:val="40"/>
          <w:szCs w:val="40"/>
        </w:rPr>
      </w:r>
    </w:p>
    <w:p>
      <w:pPr>
        <w:pStyle w:val="Normal"/>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r>
            <w:rPr/>
            <w:t>Contenido</w:t>
            <w:br/>
          </w:r>
        </w:p>
        <w:p>
          <w:pPr>
            <w:pStyle w:val="TOC1"/>
            <w:tabs>
              <w:tab w:val="clear" w:pos="708"/>
              <w:tab w:val="right" w:pos="9025"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6177_2100779321">
            <w:r>
              <w:rPr>
                <w:webHidden/>
                <w:rStyle w:val="Enlacedelndice"/>
                <w:vanish w:val="false"/>
              </w:rPr>
              <w:t>1. INTRODUCCIÓN</w:t>
            </w:r>
            <w:r>
              <w:rPr>
                <w:rStyle w:val="Enlacedelndice"/>
                <w:vanish w:val="false"/>
              </w:rPr>
              <w:tab/>
              <w:t>3</w:t>
            </w:r>
          </w:hyperlink>
        </w:p>
        <w:p>
          <w:pPr>
            <w:pStyle w:val="TOC1"/>
            <w:tabs>
              <w:tab w:val="clear" w:pos="708"/>
              <w:tab w:val="right" w:pos="9025" w:leader="dot"/>
            </w:tabs>
            <w:rPr/>
          </w:pPr>
          <w:hyperlink w:anchor="__RefHeading___Toc6179_2100779321">
            <w:r>
              <w:rPr>
                <w:webHidden/>
                <w:rStyle w:val="Enlacedelndice"/>
                <w:vanish w:val="false"/>
              </w:rPr>
              <w:t>2. VALORACIÓN GENERAL</w:t>
              <w:tab/>
              <w:t>3</w:t>
            </w:r>
          </w:hyperlink>
        </w:p>
        <w:p>
          <w:pPr>
            <w:pStyle w:val="TOC1"/>
            <w:tabs>
              <w:tab w:val="clear" w:pos="708"/>
              <w:tab w:val="right" w:pos="9025" w:leader="dot"/>
            </w:tabs>
            <w:rPr/>
          </w:pPr>
          <w:hyperlink w:anchor="__RefHeading___Toc6181_2100779321">
            <w:r>
              <w:rPr>
                <w:webHidden/>
                <w:rStyle w:val="Enlacedelndice"/>
                <w:vanish w:val="false"/>
              </w:rPr>
              <w:t>3. FUNCIONAMIENTO GENERAL DE LA ADR</w:t>
              <w:tab/>
              <w:t>4</w:t>
            </w:r>
          </w:hyperlink>
        </w:p>
        <w:p>
          <w:pPr>
            <w:pStyle w:val="TOC1"/>
            <w:tabs>
              <w:tab w:val="clear" w:pos="708"/>
              <w:tab w:val="right" w:pos="9025" w:leader="dot"/>
            </w:tabs>
            <w:rPr/>
          </w:pPr>
          <w:hyperlink w:anchor="__RefHeading___Toc6183_2100779321">
            <w:r>
              <w:rPr>
                <w:webHidden/>
                <w:rStyle w:val="Enlacedelndice"/>
                <w:vanish w:val="false"/>
              </w:rPr>
              <w:t>4. SERVICIOS PRESTADOS POR LA ADR</w:t>
              <w:tab/>
              <w:t>4</w:t>
            </w:r>
          </w:hyperlink>
        </w:p>
        <w:p>
          <w:pPr>
            <w:pStyle w:val="TOC1"/>
            <w:tabs>
              <w:tab w:val="clear" w:pos="708"/>
              <w:tab w:val="right" w:pos="9025" w:leader="dot"/>
            </w:tabs>
            <w:rPr/>
          </w:pPr>
          <w:hyperlink w:anchor="__RefHeading___Toc6185_2100779321">
            <w:r>
              <w:rPr>
                <w:webHidden/>
                <w:rStyle w:val="Enlacedelndice"/>
                <w:vanish w:val="false"/>
              </w:rPr>
              <w:t>5. PLAN DE GESTIÓN ANUAL DEL PCDR: PRIORIZACIÓN DE EJES ACCIONES ASOCIADAS</w:t>
              <w:tab/>
              <w:t>5</w:t>
            </w:r>
          </w:hyperlink>
        </w:p>
        <w:p>
          <w:pPr>
            <w:pStyle w:val="TOC2"/>
            <w:tabs>
              <w:tab w:val="clear" w:pos="708"/>
              <w:tab w:val="right" w:pos="9025" w:leader="dot"/>
            </w:tabs>
            <w:rPr/>
          </w:pPr>
          <w:hyperlink w:anchor="__RefHeading___Toc6187_2100779321">
            <w:r>
              <w:rPr>
                <w:webHidden/>
                <w:rStyle w:val="Enlacedelndice"/>
                <w:vanish w:val="false"/>
              </w:rPr>
              <w:t>5.1. PROCESO</w:t>
              <w:tab/>
              <w:t>6</w:t>
            </w:r>
          </w:hyperlink>
        </w:p>
        <w:p>
          <w:pPr>
            <w:pStyle w:val="TOC2"/>
            <w:tabs>
              <w:tab w:val="clear" w:pos="708"/>
              <w:tab w:val="right" w:pos="9025" w:leader="dot"/>
            </w:tabs>
            <w:rPr/>
          </w:pPr>
          <w:hyperlink w:anchor="__RefHeading___Toc6189_2100779321">
            <w:r>
              <w:rPr>
                <w:webHidden/>
                <w:rStyle w:val="Enlacedelndice"/>
                <w:vanish w:val="false"/>
              </w:rPr>
              <w:t>5.2. EJES PRIORITARIOS</w:t>
              <w:tab/>
              <w:t>6</w:t>
            </w:r>
          </w:hyperlink>
        </w:p>
        <w:p>
          <w:pPr>
            <w:pStyle w:val="TOC2"/>
            <w:tabs>
              <w:tab w:val="clear" w:pos="708"/>
              <w:tab w:val="right" w:pos="9025" w:leader="dot"/>
            </w:tabs>
            <w:rPr/>
          </w:pPr>
          <w:hyperlink w:anchor="__RefHeading___Toc6191_2100779321">
            <w:r>
              <w:rPr>
                <w:webHidden/>
                <w:rStyle w:val="Enlacedelndice"/>
                <w:vanish w:val="false"/>
              </w:rPr>
              <w:t>5.3. RESUMEN Y ENCAJE DE LAS ACCIONES EN EL PCDR</w:t>
              <w:tab/>
              <w:t>6</w:t>
            </w:r>
          </w:hyperlink>
        </w:p>
        <w:p>
          <w:pPr>
            <w:pStyle w:val="TOC2"/>
            <w:tabs>
              <w:tab w:val="clear" w:pos="708"/>
              <w:tab w:val="right" w:pos="9025" w:leader="dot"/>
            </w:tabs>
            <w:rPr/>
          </w:pPr>
          <w:hyperlink w:anchor="__RefHeading___Toc6193_2100779321">
            <w:r>
              <w:rPr>
                <w:webHidden/>
                <w:rStyle w:val="Enlacedelndice"/>
                <w:vanish w:val="false"/>
              </w:rPr>
              <w:t>5.4. DESCRIPCIÓN DE LAS ACCIONES PREVISTAS PARA LA ANUALIDAD</w:t>
              <w:tab/>
              <w:t>6</w:t>
            </w:r>
          </w:hyperlink>
        </w:p>
        <w:p>
          <w:pPr>
            <w:pStyle w:val="TOC1"/>
            <w:tabs>
              <w:tab w:val="clear" w:pos="708"/>
              <w:tab w:val="right" w:pos="9025" w:leader="dot"/>
            </w:tabs>
            <w:rPr/>
          </w:pPr>
          <w:hyperlink w:anchor="__RefHeading___Toc6195_2100779321">
            <w:r>
              <w:rPr>
                <w:webHidden/>
                <w:rStyle w:val="Enlacedelndice"/>
                <w:vanish w:val="false"/>
              </w:rPr>
              <w:t>6. ACCIONES Y PROYECTOS</w:t>
              <w:tab/>
              <w:t>9</w:t>
            </w:r>
          </w:hyperlink>
        </w:p>
        <w:p>
          <w:pPr>
            <w:pStyle w:val="TOC1"/>
            <w:tabs>
              <w:tab w:val="clear" w:pos="708"/>
              <w:tab w:val="right" w:pos="9025" w:leader="dot"/>
            </w:tabs>
            <w:rPr/>
          </w:pPr>
          <w:hyperlink w:anchor="__RefHeading___Toc6197_2100779321">
            <w:r>
              <w:rPr>
                <w:webHidden/>
                <w:rStyle w:val="Enlacedelndice"/>
                <w:vanish w:val="false"/>
              </w:rPr>
              <w:t>7. Cuadro de mando</w:t>
              <w:tab/>
              <w:t>11</w:t>
            </w:r>
          </w:hyperlink>
        </w:p>
        <w:p>
          <w:pPr>
            <w:pStyle w:val="TOC1"/>
            <w:tabs>
              <w:tab w:val="clear" w:pos="708"/>
              <w:tab w:val="right" w:pos="9025" w:leader="dot"/>
            </w:tabs>
            <w:rPr/>
          </w:pPr>
          <w:hyperlink w:anchor="__RefHeading___Toc6199_2100779321">
            <w:r>
              <w:rPr>
                <w:webHidden/>
                <w:rStyle w:val="Enlacedelndice"/>
                <w:vanish w:val="false"/>
              </w:rPr>
              <w:t>8. ANEXOS</w:t>
              <w:tab/>
              <w:t>12</w:t>
            </w:r>
          </w:hyperlink>
          <w:r>
            <w:rPr>
              <w:rStyle w:val="Enlacedelndice"/>
              <w:vanish w:val="false"/>
            </w:rPr>
            <w:fldChar w:fldCharType="end"/>
          </w:r>
        </w:p>
      </w:sdtContent>
    </w:sdt>
    <w:p>
      <w:pPr>
        <w:pStyle w:val="Normal"/>
        <w:rPr/>
      </w:pPr>
      <w:r>
        <w:rPr/>
      </w:r>
    </w:p>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2"/>
        </w:numPr>
        <w:spacing w:before="0" w:after="80"/>
        <w:ind w:hanging="426" w:left="426"/>
        <w:rPr/>
      </w:pPr>
      <w:bookmarkStart w:id="0" w:name="__RefHeading___Toc6177_2100779321"/>
      <w:bookmarkStart w:id="1" w:name="_Toc1759878119"/>
      <w:bookmarkStart w:id="2" w:name="_Hlk189551961_Copia_1"/>
      <w:bookmarkEnd w:id="0"/>
      <w:bookmarkEnd w:id="2"/>
      <w:r>
        <w:rPr/>
        <w:t>INTRODUCCIÓN</w:t>
      </w:r>
      <w:bookmarkEnd w:id="1"/>
    </w:p>
    <w:p>
      <w:pPr>
        <w:pStyle w:val="Normal"/>
        <w:rPr/>
      </w:pPr>
      <w:r>
        <w:rPr/>
      </w:r>
    </w:p>
    <w:p>
      <w:pPr>
        <w:pStyle w:val="Pa5"/>
        <w:spacing w:lineRule="auto" w:line="360" w:before="0" w:after="160"/>
        <w:jc w:val="both"/>
        <w:rPr>
          <w:sz w:val="22"/>
          <w:szCs w:val="22"/>
        </w:rPr>
      </w:pPr>
      <w:r>
        <w:rPr>
          <w:sz w:val="22"/>
          <w:szCs w:val="22"/>
        </w:rPr>
        <w:t>Según la Ley 7/2022, de 30 de junio, de Desarrollo Rural, el enfoque comarcal de gobernanza se articula con base en las asociaciones de desarrollo rural (ADR) que, a través de su voluntaria vinculación, y su coordinación con Lurralde, son reconocidas como agentes colaboradores de la Administración pública.</w:t>
      </w:r>
    </w:p>
    <w:p>
      <w:pPr>
        <w:pStyle w:val="Pa5"/>
        <w:spacing w:lineRule="auto" w:line="360" w:before="0" w:after="160"/>
        <w:jc w:val="both"/>
        <w:rPr>
          <w:rFonts w:eastAsia="Times New Roman"/>
          <w:sz w:val="22"/>
          <w:szCs w:val="22"/>
          <w:lang w:eastAsia="es-ES_tradnl"/>
          <w14:ligatures w14:val="none"/>
        </w:rPr>
      </w:pPr>
      <w:r>
        <w:rPr>
          <w:sz w:val="22"/>
          <w:szCs w:val="22"/>
        </w:rPr>
        <w:t>Esta vinculación se llevará a efecto, a través de la suscripción de un convenio de colaboración</w:t>
      </w:r>
      <w:r>
        <w:rPr>
          <w:rFonts w:eastAsia="Times New Roman"/>
          <w:sz w:val="22"/>
          <w:szCs w:val="22"/>
          <w:lang w:eastAsia="es-ES_tradnl"/>
          <w14:ligatures w14:val="none"/>
        </w:rPr>
        <w:t xml:space="preserve"> plurianual con el departamento del Gobierno Vasco competente en materia de desarrollo rural, así como con el correspondiente de la diputación foral ligada al territorio histórico del ámbito de las asociaciones de desarrollo rural.</w:t>
      </w:r>
    </w:p>
    <w:p>
      <w:pPr>
        <w:pStyle w:val="Pa5"/>
        <w:spacing w:lineRule="auto" w:line="360" w:before="0" w:after="160"/>
        <w:jc w:val="both"/>
        <w:rPr>
          <w:sz w:val="22"/>
          <w:szCs w:val="22"/>
        </w:rPr>
      </w:pPr>
      <w:r>
        <w:rPr>
          <w:sz w:val="22"/>
          <w:szCs w:val="22"/>
        </w:rPr>
        <w:t>Las asociaciones de desarrollo rural que suscriban el oportuno convenio de colaboración podrán seguir realizando aquellas otras funciones previstas en sus estatutos que no contravengan lo acordado en el correspondiente convenio.</w:t>
      </w:r>
    </w:p>
    <w:p>
      <w:pPr>
        <w:pStyle w:val="Pa5"/>
        <w:spacing w:lineRule="auto" w:line="360" w:before="0" w:after="160"/>
        <w:jc w:val="both"/>
        <w:rPr>
          <w:sz w:val="22"/>
          <w:szCs w:val="22"/>
        </w:rPr>
      </w:pPr>
      <w:r>
        <w:rPr>
          <w:sz w:val="22"/>
          <w:szCs w:val="22"/>
        </w:rPr>
        <w:t>El citado convenio regulará aquellos aspectos organizativos, financieros y de gestión ligados a la correcta ejecución de las funciones y actuaciones contempladas en él. Entre dichas actuaciones, se recogerán las ligadas a la elaboración y gestión de los programas comarcales de desarrollo rural así como la elaboración de los planes de gestión anuales, instrumentos de planificación que derivan de la propia ley.</w:t>
      </w:r>
    </w:p>
    <w:p>
      <w:pPr>
        <w:pStyle w:val="Pa5"/>
        <w:spacing w:lineRule="auto" w:line="360" w:before="0" w:after="160"/>
        <w:jc w:val="both"/>
        <w:rPr>
          <w:sz w:val="22"/>
          <w:szCs w:val="22"/>
        </w:rPr>
      </w:pPr>
      <w:r>
        <w:rPr>
          <w:sz w:val="22"/>
          <w:szCs w:val="22"/>
        </w:rPr>
        <w:t xml:space="preserve">Así, este documento recoge la memoria del Plan de Gestión con las acciones en favor del desarrollo rural en la comarca de </w:t>
      </w:r>
      <w:r>
        <w:rPr>
          <w:rFonts w:eastAsia="Aptos" w:cs="Arial"/>
          <w:color w:val="auto"/>
          <w:kern w:val="0"/>
          <w:sz w:val="22"/>
          <w:szCs w:val="22"/>
          <w:lang w:val="es-ES" w:eastAsia="en-US" w:bidi="ar-SA"/>
        </w:rPr>
        <w:t xml:space="preserve">{nComarca} </w:t>
      </w:r>
      <w:r>
        <w:rPr>
          <w:sz w:val="22"/>
          <w:szCs w:val="22"/>
        </w:rPr>
        <w:t>donde se incorporan tanto las que derivan del PCDR como otras de la ADR, incluyendo así mismo los servicios prestados por la entidad:</w:t>
      </w:r>
    </w:p>
    <w:p>
      <w:pPr>
        <w:pStyle w:val="Normal"/>
        <w:jc w:val="both"/>
        <w:rPr>
          <w:rFonts w:ascii="Arial" w:hAnsi="Arial" w:cs="Arial"/>
          <w:sz w:val="22"/>
          <w:szCs w:val="22"/>
          <w:lang w:val="es-ES"/>
        </w:rPr>
      </w:pPr>
      <w:r>
        <w:rPr>
          <w:rFonts w:cs="Arial" w:ascii="Arial" w:hAnsi="Arial"/>
          <w:sz w:val="22"/>
          <w:szCs w:val="22"/>
          <w:lang w:val="es-ES"/>
        </w:rPr>
      </w:r>
    </w:p>
    <w:p>
      <w:pPr>
        <w:pStyle w:val="ListParagraph"/>
        <w:jc w:val="both"/>
        <w:rPr>
          <w:rFonts w:ascii="Arial" w:hAnsi="Arial" w:cs="Arial"/>
          <w:sz w:val="22"/>
          <w:szCs w:val="22"/>
          <w:lang w:val="es-ES"/>
        </w:rPr>
      </w:pPr>
      <w:r>
        <w:rPr/>
        <w:drawing>
          <wp:inline distT="0" distB="0" distL="0" distR="0">
            <wp:extent cx="4511675" cy="214566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511675" cy="2145665"/>
                    </a:xfrm>
                    <a:prstGeom prst="rect">
                      <a:avLst/>
                    </a:prstGeom>
                    <a:noFill/>
                  </pic:spPr>
                </pic:pic>
              </a:graphicData>
            </a:graphic>
          </wp:inline>
        </w:drawing>
      </w:r>
    </w:p>
    <w:p>
      <w:pPr>
        <w:pStyle w:val="Normal"/>
        <w:jc w:val="both"/>
        <w:rPr>
          <w:rFonts w:ascii="Arial" w:hAnsi="Arial" w:cs="Arial"/>
          <w:sz w:val="22"/>
          <w:szCs w:val="22"/>
          <w:lang w:val="es-ES"/>
        </w:rPr>
      </w:pPr>
      <w:r>
        <w:rPr>
          <w:rFonts w:cs="Arial" w:ascii="Arial" w:hAnsi="Arial"/>
          <w:sz w:val="22"/>
          <w:szCs w:val="22"/>
          <w:lang w:val="es-ES"/>
        </w:rPr>
      </w:r>
    </w:p>
    <w:p>
      <w:pPr>
        <w:pStyle w:val="Heading1"/>
        <w:numPr>
          <w:ilvl w:val="0"/>
          <w:numId w:val="2"/>
        </w:numPr>
        <w:rPr/>
      </w:pPr>
      <w:bookmarkStart w:id="3" w:name="__RefHeading___Toc6179_2100779321"/>
      <w:bookmarkStart w:id="4" w:name="_Toc530841188"/>
      <w:bookmarkEnd w:id="3"/>
      <w:r>
        <w:rPr/>
        <w:t>VALORACIÓN GENERAL</w:t>
      </w:r>
      <w:bookmarkEnd w:id="4"/>
    </w:p>
    <w:p>
      <w:pPr>
        <w:pStyle w:val="Normal"/>
        <w:spacing w:lineRule="auto" w:line="360"/>
        <w:jc w:val="both"/>
        <w:rPr>
          <w:rFonts w:ascii="Arial" w:hAnsi="Arial" w:cs="Arial"/>
          <w:sz w:val="22"/>
          <w:szCs w:val="22"/>
          <w:lang w:val="es-ES"/>
        </w:rPr>
      </w:pPr>
      <w:r>
        <w:rPr>
          <w:rFonts w:cs="Arial" w:ascii="Arial" w:hAnsi="Arial"/>
          <w:sz w:val="22"/>
          <w:szCs w:val="22"/>
          <w:lang w:val="es-ES"/>
        </w:rPr>
      </w:r>
    </w:p>
    <w:p>
      <w:pPr>
        <w:pStyle w:val="Normal"/>
        <w:rPr/>
      </w:pPr>
      <w:r>
        <w:rPr/>
        <w:t xml:space="preserve">{valGeneral} </w:t>
      </w:r>
    </w:p>
    <w:p>
      <w:pPr>
        <w:pStyle w:val="Normal"/>
        <w:rPr>
          <w:lang w:val="es-ES"/>
        </w:rPr>
      </w:pPr>
      <w:r>
        <w:rPr>
          <w:lang w:val="es-ES"/>
        </w:rPr>
      </w:r>
    </w:p>
    <w:p>
      <w:pPr>
        <w:pStyle w:val="Heading1"/>
        <w:numPr>
          <w:ilvl w:val="0"/>
          <w:numId w:val="2"/>
        </w:numPr>
        <w:ind w:hanging="426" w:left="426"/>
        <w:rPr/>
      </w:pPr>
      <w:bookmarkStart w:id="5" w:name="__RefHeading___Toc6181_2100779321"/>
      <w:bookmarkStart w:id="6" w:name="_Toc1154886784"/>
      <w:bookmarkEnd w:id="5"/>
      <w:r>
        <w:rPr/>
        <w:t>FUNCIONAMIENTO GENERAL DE LA ADR</w:t>
      </w:r>
      <w:bookmarkEnd w:id="6"/>
      <w:r>
        <w:rPr/>
        <w:t xml:space="preserve"> </w:t>
      </w:r>
    </w:p>
    <w:p>
      <w:pPr>
        <w:pStyle w:val="Normal"/>
        <w:rPr>
          <w:rFonts w:ascii="Arial" w:hAnsi="Arial" w:cs="Arial"/>
          <w:color w:themeColor="text1" w:val="000000"/>
          <w:sz w:val="22"/>
          <w:szCs w:val="22"/>
        </w:rPr>
      </w:pPr>
      <w:r>
        <w:rPr>
          <w:rFonts w:cs="Arial" w:ascii="Arial" w:hAnsi="Arial"/>
          <w:color w:themeColor="text1" w:val="000000"/>
          <w:sz w:val="22"/>
          <w:szCs w:val="22"/>
        </w:rPr>
      </w:r>
    </w:p>
    <w:p>
      <w:pPr>
        <w:pStyle w:val="Normal"/>
        <w:spacing w:lineRule="auto" w:line="360"/>
        <w:jc w:val="both"/>
        <w:rPr>
          <w:rFonts w:ascii="Arial" w:hAnsi="Arial" w:cs="Arial"/>
          <w:color w:themeColor="text1" w:val="000000"/>
          <w:sz w:val="22"/>
          <w:szCs w:val="22"/>
        </w:rPr>
      </w:pPr>
      <w:r>
        <w:rPr>
          <w:rFonts w:cs="Arial" w:ascii="Arial" w:hAnsi="Arial"/>
          <w:color w:themeColor="text1" w:val="000000"/>
          <w:sz w:val="22"/>
          <w:szCs w:val="22"/>
        </w:rPr>
        <w:t>Además de los servicios, acciones y proyectos definidos para el ejercicio en curso, en esta memoria se recogen las tareas internas relacionadas con la gestión de la ADR. Éstas se reflejan en la siguiente tabla:</w:t>
      </w:r>
    </w:p>
    <w:p>
      <w:pPr>
        <w:pStyle w:val="Normal"/>
        <w:jc w:val="both"/>
        <w:rPr>
          <w:color w:themeColor="text1" w:val="000000"/>
          <w:sz w:val="22"/>
          <w:szCs w:val="22"/>
        </w:rPr>
      </w:pPr>
      <w:r>
        <w:rPr>
          <w:color w:themeColor="text1" w:val="000000"/>
          <w:sz w:val="22"/>
          <w:szCs w:val="22"/>
        </w:rPr>
      </w:r>
    </w:p>
    <w:tbl>
      <w:tblPr>
        <w:tblStyle w:val="Tablaconcuadrcula"/>
        <w:tblW w:w="9031"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06"/>
        <w:gridCol w:w="2944"/>
        <w:gridCol w:w="2881"/>
      </w:tblGrid>
      <w:tr>
        <w:trPr/>
        <w:tc>
          <w:tcPr>
            <w:tcW w:w="9031"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r>
              <w:rPr>
                <w:rFonts w:cs="Arial" w:ascii="Arial" w:hAnsi="Arial"/>
                <w:b/>
                <w:bCs/>
                <w:sz w:val="22"/>
                <w:szCs w:val="22"/>
                <w:lang w:bidi="ar-SA"/>
              </w:rPr>
              <w:t>TAREAS INTERNAS DE GESTIÓN DE LA ADR</w:t>
            </w:r>
          </w:p>
        </w:tc>
      </w:tr>
      <w:tr>
        <w:trPr/>
        <w:tc>
          <w:tcPr>
            <w:tcW w:w="9031" w:type="dxa"/>
            <w:gridSpan w:val="3"/>
            <w:tcBorders/>
            <w:vAlign w:val="center"/>
          </w:tcPr>
          <w:p>
            <w:pPr>
              <w:pStyle w:val="Normal"/>
              <w:widowControl/>
              <w:suppressAutoHyphens w:val="true"/>
              <w:spacing w:lineRule="auto" w:line="360" w:before="0" w:after="0"/>
              <w:jc w:val="left"/>
              <w:rPr>
                <w:color w:val="000000"/>
              </w:rPr>
            </w:pPr>
            <w:r>
              <w:rPr>
                <w:rFonts w:cs="Arial" w:ascii="Arial" w:hAnsi="Arial"/>
                <w:color w:val="000000"/>
                <w:sz w:val="22"/>
                <w:szCs w:val="22"/>
                <w:lang w:bidi="ar-SA"/>
              </w:rPr>
              <w:t>Las tareas internas de gestión necesarias para el funcionamiento de la ADR han sido las siguientes: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del PG anual y seguimiento de las actuaciones propuestas.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Elaboración de la memoria recapitulativa anual analizando el grado de ejecución de las actuaciones previstas.</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Labores propias de la gestión administrativa interna de la asociación: convocatoria de juntas directivas, elaboración de actas y memorias, gestión del presupuesto, etc.</w:t>
            </w:r>
          </w:p>
          <w:p>
            <w:pPr>
              <w:pStyle w:val="ListParagraph"/>
              <w:widowControl/>
              <w:numPr>
                <w:ilvl w:val="1"/>
                <w:numId w:val="1"/>
              </w:numPr>
              <w:suppressAutoHyphens w:val="true"/>
              <w:spacing w:lineRule="auto" w:line="360" w:before="0" w:after="0"/>
              <w:ind w:hanging="360" w:left="360"/>
              <w:contextualSpacing/>
              <w:jc w:val="both"/>
              <w:rPr>
                <w:color w:val="000000"/>
              </w:rPr>
            </w:pPr>
            <w:r>
              <w:rPr>
                <w:rFonts w:cs="Arial" w:ascii="Arial" w:hAnsi="Arial"/>
                <w:color w:val="000000"/>
                <w:sz w:val="22"/>
                <w:szCs w:val="22"/>
                <w:lang w:bidi="ar-SA"/>
              </w:rPr>
              <w:t>Comunicación de la ADR (difusión de actividades propias, elaboración de notas de prensa, recepción de inscripciones para eventos, redes sociales, ayudas, noticias de interés de la comarca, organización de ruedas de prensa etc.).</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6150" w:type="dxa"/>
            <w:gridSpan w:val="2"/>
            <w:tcBorders/>
            <w:shd w:color="auto" w:fill="124F1A" w:themeFill="accent3" w:themeFillShade="bf" w:val="clear"/>
            <w:vAlign w:val="center"/>
          </w:tcPr>
          <w:p>
            <w:pPr>
              <w:pStyle w:val="Normal"/>
              <w:widowControl/>
              <w:suppressAutoHyphens w:val="true"/>
              <w:spacing w:before="0" w:after="0"/>
              <w:jc w:val="left"/>
              <w:rPr>
                <w:color w:val="000000"/>
              </w:rPr>
            </w:pPr>
            <w:r>
              <w:rPr>
                <w:rFonts w:cs="Arial" w:ascii="Arial" w:hAnsi="Arial"/>
                <w:b/>
                <w:bCs/>
                <w:color w:val="000000"/>
                <w:sz w:val="22"/>
                <w:szCs w:val="22"/>
                <w:lang w:bidi="ar-SA"/>
              </w:rPr>
              <w:t>INDICADORES OPERATIVOS</w:t>
            </w:r>
          </w:p>
        </w:tc>
        <w:tc>
          <w:tcPr>
            <w:tcW w:w="2881" w:type="dxa"/>
            <w:tcBorders/>
            <w:shd w:color="auto" w:fill="124F1A" w:themeFill="accent3" w:themeFillShade="bf" w:val="clear"/>
            <w:vAlign w:val="center"/>
          </w:tcPr>
          <w:p>
            <w:pPr>
              <w:pStyle w:val="Normal"/>
              <w:widowControl/>
              <w:suppressAutoHyphens w:val="true"/>
              <w:spacing w:before="0" w:after="0"/>
              <w:jc w:val="left"/>
              <w:rPr>
                <w:rFonts w:ascii="Arial" w:hAnsi="Arial" w:cs="Arial"/>
                <w:b/>
                <w:bCs/>
                <w:color w:val="000000"/>
                <w:sz w:val="22"/>
                <w:szCs w:val="22"/>
              </w:rPr>
            </w:pPr>
            <w:r>
              <w:rPr>
                <w:rFonts w:cs="Arial" w:ascii="Arial" w:hAnsi="Arial"/>
                <w:b/>
                <w:bCs/>
                <w:color w:val="000000"/>
                <w:sz w:val="22"/>
                <w:szCs w:val="22"/>
              </w:rPr>
            </w:r>
          </w:p>
        </w:tc>
      </w:tr>
      <w:tr>
        <w:trPr/>
        <w:tc>
          <w:tcPr>
            <w:tcW w:w="3206"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Indicador</w:t>
            </w:r>
          </w:p>
        </w:tc>
        <w:tc>
          <w:tcPr>
            <w:tcW w:w="2944" w:type="dxa"/>
            <w:tcBorders/>
            <w:shd w:color="auto" w:fill="84E290" w:themeFill="accent3" w:themeFillTint="66"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previsto</w:t>
            </w:r>
          </w:p>
        </w:tc>
        <w:tc>
          <w:tcPr>
            <w:tcW w:w="2881" w:type="dxa"/>
            <w:tcBorders/>
            <w:shd w:color="auto" w:fill="FFC000" w:val="clear"/>
            <w:vAlign w:val="center"/>
          </w:tcPr>
          <w:p>
            <w:pPr>
              <w:pStyle w:val="Normal"/>
              <w:widowControl/>
              <w:suppressAutoHyphens w:val="true"/>
              <w:spacing w:before="0" w:after="0"/>
              <w:jc w:val="center"/>
              <w:rPr>
                <w:color w:val="000000"/>
              </w:rPr>
            </w:pPr>
            <w:r>
              <w:rPr>
                <w:rFonts w:cs="Arial" w:ascii="Arial" w:hAnsi="Arial"/>
                <w:b/>
                <w:bCs/>
                <w:color w:val="000000"/>
                <w:sz w:val="22"/>
                <w:szCs w:val="22"/>
                <w:lang w:bidi="ar-SA"/>
              </w:rPr>
              <w:t>Valor alcanzado</w:t>
            </w:r>
          </w:p>
        </w:tc>
      </w:tr>
      <w:tr>
        <w:trPr/>
        <w:tc>
          <w:tcPr>
            <w:tcW w:w="3206" w:type="dxa"/>
            <w:tcBorders/>
            <w:vAlign w:val="center"/>
          </w:tcPr>
          <w:p>
            <w:pPr>
              <w:pStyle w:val="Normal"/>
              <w:widowControl/>
              <w:suppressAutoHyphens w:val="true"/>
              <w:spacing w:before="0" w:after="0"/>
              <w:jc w:val="left"/>
              <w:rPr/>
            </w:pPr>
            <w:r>
              <w:rPr>
                <w:i/>
                <w:iCs/>
                <w:color w:val="000000"/>
              </w:rPr>
              <w:t>{#indicadoresOperativos}{nombre}</w:t>
            </w:r>
          </w:p>
        </w:tc>
        <w:tc>
          <w:tcPr>
            <w:tcW w:w="2944" w:type="dxa"/>
            <w:tcBorders/>
            <w:vAlign w:val="center"/>
          </w:tcPr>
          <w:p>
            <w:pPr>
              <w:pStyle w:val="Normal"/>
              <w:widowControl/>
              <w:suppressAutoHyphens w:val="true"/>
              <w:spacing w:before="0" w:after="0"/>
              <w:jc w:val="left"/>
              <w:rPr/>
            </w:pPr>
            <w:r>
              <w:rPr>
                <w:i/>
                <w:iCs/>
                <w:color w:val="000000"/>
              </w:rPr>
              <w:t>{value}</w:t>
            </w:r>
          </w:p>
        </w:tc>
        <w:tc>
          <w:tcPr>
            <w:tcW w:w="2881" w:type="dxa"/>
            <w:tcBorders/>
            <w:vAlign w:val="center"/>
          </w:tcPr>
          <w:p>
            <w:pPr>
              <w:pStyle w:val="Normal"/>
              <w:widowControl/>
              <w:suppressAutoHyphens w:val="true"/>
              <w:spacing w:before="0" w:after="0"/>
              <w:jc w:val="left"/>
              <w:rPr/>
            </w:pPr>
            <w:r>
              <w:rPr>
                <w:i/>
                <w:iCs/>
                <w:color w:val="000000"/>
              </w:rPr>
              <w:t>{valueAlcanzado}{/indicadoresOperativos}</w:t>
            </w:r>
          </w:p>
        </w:tc>
      </w:tr>
    </w:tbl>
    <w:p>
      <w:pPr>
        <w:pStyle w:val="Normal"/>
        <w:rPr/>
      </w:pPr>
      <w:r>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rPr/>
      </w:pPr>
      <w:r>
        <w:rPr/>
      </w:r>
    </w:p>
    <w:p>
      <w:pPr>
        <w:pStyle w:val="Normal"/>
        <w:rPr/>
      </w:pPr>
      <w:r>
        <w:rPr/>
      </w:r>
    </w:p>
    <w:p>
      <w:pPr>
        <w:pStyle w:val="Heading1"/>
        <w:numPr>
          <w:ilvl w:val="0"/>
          <w:numId w:val="2"/>
        </w:numPr>
        <w:ind w:hanging="426" w:left="426"/>
        <w:rPr/>
      </w:pPr>
      <w:bookmarkStart w:id="7" w:name="__RefHeading___Toc6183_2100779321"/>
      <w:bookmarkStart w:id="8" w:name="_Toc2115203315"/>
      <w:bookmarkEnd w:id="7"/>
      <w:r>
        <w:rPr/>
        <w:t>SERVICIOS PRESTADOS POR LA ADR</w:t>
      </w:r>
      <w:bookmarkEnd w:id="8"/>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rPr>
          <w:color w:val="000000"/>
        </w:rPr>
      </w:pPr>
      <w:r>
        <w:rPr>
          <w:rFonts w:cs="Arial" w:ascii="Arial" w:hAnsi="Arial"/>
          <w:color w:val="000000"/>
          <w:sz w:val="22"/>
          <w:szCs w:val="22"/>
          <w:lang w:val="es-ES"/>
        </w:rPr>
        <w:t>A continuación, se describen los servicios prestados por la ADR:</w:t>
      </w:r>
    </w:p>
    <w:p>
      <w:pPr>
        <w:pStyle w:val="Normal"/>
        <w:rPr>
          <w:rFonts w:ascii="Arial" w:hAnsi="Arial" w:cs="Arial"/>
          <w:color w:val="000000"/>
          <w:sz w:val="22"/>
          <w:szCs w:val="22"/>
          <w:lang w:val="es-ES"/>
        </w:rPr>
      </w:pPr>
      <w:r>
        <w:rPr>
          <w:rFonts w:cs="Arial" w:ascii="Arial" w:hAnsi="Arial"/>
          <w:color w:val="000000"/>
          <w:sz w:val="22"/>
          <w:szCs w:val="22"/>
          <w:lang w:val="es-ES"/>
        </w:rPr>
      </w:r>
    </w:p>
    <w:p>
      <w:pPr>
        <w:pStyle w:val="Normal"/>
        <w:spacing w:lineRule="auto" w:line="360" w:before="0" w:after="0"/>
        <w:contextualSpacing/>
        <w:jc w:val="both"/>
        <w:rPr>
          <w:color w:val="000000"/>
        </w:rPr>
      </w:pPr>
      <w:r>
        <w:rPr>
          <w:rFonts w:eastAsia="SimSun" w:cs="Arial" w:ascii="Arial" w:hAnsi="Arial"/>
          <w:i/>
          <w:iCs/>
          <w:color w:val="000000"/>
          <w:sz w:val="22"/>
          <w:szCs w:val="22"/>
          <w:lang w:val="es-ES" w:eastAsia="en-US"/>
        </w:rPr>
        <w:t>{#fichasServicio}</w:t>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64"/>
        <w:gridCol w:w="2187"/>
        <w:gridCol w:w="2216"/>
      </w:tblGrid>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SERVICIO</w:t>
            </w:r>
          </w:p>
        </w:tc>
      </w:tr>
      <w:tr>
        <w:trPr/>
        <w:tc>
          <w:tcPr>
            <w:tcW w:w="9067" w:type="dxa"/>
            <w:gridSpan w:val="3"/>
            <w:tcBorders/>
            <w:shd w:color="auto" w:fill="84E290" w:themeFill="accent3" w:themeFillTint="66" w:val="clear"/>
            <w:vAlign w:val="center"/>
          </w:tcPr>
          <w:p>
            <w:pPr>
              <w:pStyle w:val="Normal"/>
              <w:widowControl/>
              <w:suppressAutoHyphens w:val="true"/>
              <w:spacing w:before="0" w:after="0"/>
              <w:jc w:val="left"/>
              <w:rPr>
                <w:rFonts w:ascii="Arial" w:hAnsi="Arial" w:cs="Arial"/>
                <w:b/>
                <w:bCs/>
                <w:sz w:val="22"/>
                <w:szCs w:val="22"/>
                <w:lang w:val="es-ES"/>
              </w:rPr>
            </w:pPr>
            <w:r>
              <w:rPr>
                <w:rFonts w:cs="Arial" w:ascii="Arial" w:hAnsi="Arial"/>
                <w:b/>
                <w:bCs/>
                <w:sz w:val="22"/>
                <w:szCs w:val="22"/>
                <w:lang w:val="es-ES"/>
              </w:rPr>
              <w:t>{nombre}</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DESCRIPCIÓN</w:t>
            </w:r>
          </w:p>
        </w:tc>
      </w:tr>
      <w:tr>
        <w:trPr/>
        <w:tc>
          <w:tcPr>
            <w:tcW w:w="9067" w:type="dxa"/>
            <w:gridSpan w:val="3"/>
            <w:tcBorders/>
            <w:vAlign w:val="center"/>
          </w:tcPr>
          <w:p>
            <w:pPr>
              <w:pStyle w:val="ListParagraph"/>
              <w:widowControl/>
              <w:numPr>
                <w:ilvl w:val="1"/>
                <w:numId w:val="1"/>
              </w:numPr>
              <w:suppressAutoHyphens w:val="true"/>
              <w:spacing w:before="0" w:after="0"/>
              <w:ind w:hanging="360" w:left="360"/>
              <w:contextualSpacing/>
              <w:jc w:val="both"/>
              <w:rPr>
                <w:sz w:val="22"/>
                <w:szCs w:val="22"/>
              </w:rPr>
            </w:pPr>
            <w:r>
              <w:rPr/>
              <w:t>{descripcion}</w:t>
            </w:r>
          </w:p>
        </w:tc>
      </w:tr>
      <w:tr>
        <w:trPr/>
        <w:tc>
          <w:tcPr>
            <w:tcW w:w="9067" w:type="dxa"/>
            <w:gridSpan w:val="3"/>
            <w:tcBorders/>
            <w:shd w:color="auto" w:fill="124F1A" w:themeFill="accent3" w:themeFillShade="bf" w:val="clear"/>
            <w:vAlign w:val="center"/>
          </w:tcPr>
          <w:p>
            <w:pPr>
              <w:pStyle w:val="Normal"/>
              <w:widowControl/>
              <w:suppressAutoHyphens w:val="true"/>
              <w:spacing w:before="0" w:after="0"/>
              <w:jc w:val="left"/>
              <w:rPr>
                <w:rFonts w:ascii="Arial" w:hAnsi="Arial" w:cs="Arial"/>
                <w:b/>
                <w:bCs/>
                <w:sz w:val="22"/>
                <w:szCs w:val="22"/>
              </w:rPr>
            </w:pPr>
            <w:bookmarkStart w:id="9" w:name="_Hlk190431626"/>
            <w:bookmarkEnd w:id="9"/>
            <w:r>
              <w:rPr>
                <w:rFonts w:cs="Arial" w:ascii="Arial" w:hAnsi="Arial"/>
                <w:b/>
                <w:bCs/>
                <w:sz w:val="22"/>
                <w:szCs w:val="22"/>
                <w:lang w:bidi="ar-SA"/>
              </w:rPr>
              <w:t>INDICADORES de realización</w:t>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b/>
                <w:bCs/>
                <w:sz w:val="22"/>
                <w:szCs w:val="22"/>
              </w:rPr>
            </w:pPr>
            <w:bookmarkStart w:id="10" w:name="_Hlk190431626_Copia_1"/>
            <w:bookmarkEnd w:id="10"/>
            <w:r>
              <w:rPr>
                <w:rFonts w:cs="Arial" w:ascii="Arial" w:hAnsi="Arial"/>
                <w:b/>
                <w:bCs/>
                <w:sz w:val="22"/>
                <w:szCs w:val="22"/>
                <w:lang w:val="es-ES" w:bidi="ar-SA"/>
              </w:rPr>
              <w:t>Indicador</w:t>
            </w:r>
          </w:p>
        </w:tc>
        <w:tc>
          <w:tcPr>
            <w:tcW w:w="2187"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Meta anual</w:t>
            </w:r>
          </w:p>
        </w:tc>
        <w:tc>
          <w:tcPr>
            <w:tcW w:w="2216" w:type="dxa"/>
            <w:tcBorders/>
            <w:shd w:color="auto" w:fill="FFC000" w:val="clear"/>
            <w:vAlign w:val="center"/>
          </w:tcPr>
          <w:p>
            <w:pPr>
              <w:pStyle w:val="Normal"/>
              <w:jc w:val="center"/>
              <w:rPr>
                <w:rFonts w:ascii="Arial" w:hAnsi="Arial" w:cs="Arial"/>
                <w:b/>
                <w:bCs/>
                <w:sz w:val="22"/>
                <w:szCs w:val="22"/>
                <w:lang w:val="es-ES"/>
              </w:rPr>
            </w:pPr>
            <w:r>
              <w:rPr>
                <w:rFonts w:cs="Arial" w:ascii="Arial" w:hAnsi="Arial"/>
                <w:b/>
                <w:bCs/>
                <w:color w:themeColor="text1" w:val="000000"/>
                <w:sz w:val="22"/>
                <w:szCs w:val="22"/>
                <w:lang w:bidi="ar-SA"/>
              </w:rPr>
              <w:t xml:space="preserve">Valor </w:t>
            </w:r>
            <w:r>
              <w:rPr>
                <w:rFonts w:cs="Arial" w:ascii="Arial" w:hAnsi="Arial"/>
                <w:b/>
                <w:bCs/>
                <w:sz w:val="22"/>
                <w:szCs w:val="22"/>
                <w:lang w:val="es-ES"/>
              </w:rPr>
              <w:t>alcanzado</w:t>
            </w:r>
            <w:bookmarkStart w:id="11" w:name="_Hlk190431666"/>
            <w:bookmarkEnd w:id="11"/>
          </w:p>
        </w:tc>
      </w:tr>
      <w:tr>
        <w:trPr/>
        <w:tc>
          <w:tcPr>
            <w:tcW w:w="4664" w:type="dxa"/>
            <w:tcBorders/>
            <w:vAlign w:val="center"/>
          </w:tcPr>
          <w:p>
            <w:pPr>
              <w:pStyle w:val="Normal"/>
              <w:widowControl/>
              <w:suppressAutoHyphens w:val="true"/>
              <w:spacing w:before="0" w:after="0"/>
              <w:jc w:val="left"/>
              <w:rPr/>
            </w:pPr>
            <w:r>
              <w:rPr>
                <w:rFonts w:cs="Arial" w:ascii="Arial" w:hAnsi="Arial"/>
                <w:sz w:val="22"/>
                <w:szCs w:val="22"/>
                <w:lang w:bidi="ar-SA"/>
              </w:rPr>
              <w:t>{#indicadoresRealizacion}{indicador}</w:t>
            </w:r>
          </w:p>
        </w:tc>
        <w:tc>
          <w:tcPr>
            <w:tcW w:w="2187" w:type="dxa"/>
            <w:tcBorders/>
            <w:vAlign w:val="center"/>
          </w:tcPr>
          <w:p>
            <w:pPr>
              <w:pStyle w:val="Normal"/>
              <w:widowControl/>
              <w:suppressAutoHyphens w:val="true"/>
              <w:spacing w:before="0" w:after="0"/>
              <w:jc w:val="left"/>
              <w:rPr/>
            </w:pPr>
            <w:bookmarkStart w:id="12" w:name="_Hlk190431515_Copia_1"/>
            <w:bookmarkEnd w:id="12"/>
            <w:r>
              <w:rPr>
                <w:rFonts w:cs="Arial" w:ascii="Arial" w:hAnsi="Arial"/>
                <w:sz w:val="22"/>
                <w:szCs w:val="22"/>
                <w:lang w:bidi="ar-SA"/>
              </w:rPr>
              <w:t>{previsto}</w:t>
            </w:r>
          </w:p>
        </w:tc>
        <w:tc>
          <w:tcPr>
            <w:tcW w:w="2216" w:type="dxa"/>
            <w:tcBorders/>
            <w:vAlign w:val="center"/>
          </w:tcPr>
          <w:p>
            <w:pPr>
              <w:pStyle w:val="Normal"/>
              <w:widowControl/>
              <w:suppressAutoHyphens w:val="true"/>
              <w:spacing w:before="0" w:after="0"/>
              <w:jc w:val="left"/>
              <w:rPr/>
            </w:pPr>
            <w:bookmarkStart w:id="13" w:name="_Hlk190431515"/>
            <w:bookmarkEnd w:id="13"/>
            <w:r>
              <w:rPr/>
              <w:t>{alcanzado}{/indicadoresRealizacion}</w:t>
            </w:r>
          </w:p>
        </w:tc>
      </w:tr>
      <w:tr>
        <w:trPr/>
        <w:tc>
          <w:tcPr>
            <w:tcW w:w="6851" w:type="dxa"/>
            <w:gridSpan w:val="2"/>
            <w:tcBorders/>
            <w:shd w:color="auto" w:fill="124F1A" w:themeFill="accent3" w:themeFillShade="bf" w:val="clear"/>
            <w:vAlign w:val="center"/>
          </w:tcPr>
          <w:p>
            <w:pPr>
              <w:pStyle w:val="Normal"/>
              <w:widowControl/>
              <w:suppressAutoHyphens w:val="true"/>
              <w:spacing w:before="0" w:after="0"/>
              <w:jc w:val="left"/>
              <w:rPr>
                <w:b/>
                <w:bCs/>
                <w:sz w:val="22"/>
                <w:szCs w:val="22"/>
              </w:rPr>
            </w:pPr>
            <w:r>
              <w:rPr>
                <w:rFonts w:cs="Arial" w:ascii="Arial" w:hAnsi="Arial"/>
                <w:b/>
                <w:bCs/>
                <w:sz w:val="22"/>
                <w:szCs w:val="22"/>
                <w:lang w:bidi="ar-SA"/>
              </w:rPr>
              <w:t>INDICADORES de resultado</w:t>
            </w:r>
          </w:p>
        </w:tc>
        <w:tc>
          <w:tcPr>
            <w:tcW w:w="2216" w:type="dxa"/>
            <w:tcBorders/>
            <w:shd w:color="auto" w:fill="124F1A" w:themeFill="accent3" w:themeFillShade="bf" w:val="clear"/>
            <w:vAlign w:val="center"/>
          </w:tcPr>
          <w:p>
            <w:pPr>
              <w:pStyle w:val="Normal"/>
              <w:widowControl/>
              <w:suppressAutoHyphens w:val="true"/>
              <w:spacing w:before="0" w:after="0"/>
              <w:jc w:val="left"/>
              <w:rPr>
                <w:b/>
                <w:bCs/>
                <w:sz w:val="22"/>
                <w:szCs w:val="22"/>
              </w:rPr>
            </w:pPr>
            <w:r>
              <w:rPr>
                <w:b/>
                <w:bCs/>
                <w:sz w:val="22"/>
                <w:szCs w:val="22"/>
              </w:rPr>
            </w:r>
          </w:p>
        </w:tc>
      </w:tr>
      <w:tr>
        <w:trPr/>
        <w:tc>
          <w:tcPr>
            <w:tcW w:w="4664"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sz w:val="22"/>
                <w:szCs w:val="22"/>
                <w:lang w:val="es-ES" w:bidi="ar-SA"/>
              </w:rPr>
              <w:t>Indicador</w:t>
            </w:r>
          </w:p>
        </w:tc>
        <w:tc>
          <w:tcPr>
            <w:tcW w:w="2187"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sz w:val="22"/>
                <w:szCs w:val="22"/>
                <w:shd w:fill="auto" w:val="clear"/>
                <w:lang w:val="es-ES" w:bidi="ar-SA"/>
              </w:rPr>
              <w:t>Meta anual</w:t>
            </w:r>
          </w:p>
        </w:tc>
        <w:tc>
          <w:tcPr>
            <w:tcW w:w="2216" w:type="dxa"/>
            <w:tcBorders/>
            <w:shd w:color="auto" w:fill="FFC000" w:val="clear"/>
            <w:vAlign w:val="center"/>
          </w:tcPr>
          <w:p>
            <w:pPr>
              <w:pStyle w:val="Normal"/>
              <w:widowControl/>
              <w:suppressAutoHyphens w:val="true"/>
              <w:spacing w:before="0" w:after="0"/>
              <w:jc w:val="center"/>
              <w:rPr>
                <w:rFonts w:ascii="Arial" w:hAnsi="Arial" w:cs="Arial"/>
                <w:b/>
                <w:bCs/>
                <w:sz w:val="22"/>
                <w:szCs w:val="22"/>
                <w:lang w:val="es-ES"/>
              </w:rPr>
            </w:pPr>
            <w:r>
              <w:rPr>
                <w:rFonts w:cs="Arial" w:ascii="Arial" w:hAnsi="Arial"/>
                <w:b/>
                <w:bCs/>
                <w:color w:themeColor="text1" w:val="000000"/>
                <w:sz w:val="22"/>
                <w:szCs w:val="22"/>
                <w:lang w:bidi="ar-SA"/>
              </w:rPr>
              <w:t>Valor alcanzado</w:t>
            </w:r>
          </w:p>
        </w:tc>
      </w:tr>
      <w:tr>
        <w:trPr>
          <w:trHeight w:val="317" w:hRule="atLeast"/>
        </w:trPr>
        <w:tc>
          <w:tcPr>
            <w:tcW w:w="4664" w:type="dxa"/>
            <w:tcBorders/>
            <w:vAlign w:val="center"/>
          </w:tcPr>
          <w:p>
            <w:pPr>
              <w:pStyle w:val="Normal"/>
              <w:widowControl/>
              <w:suppressAutoHyphens w:val="true"/>
              <w:spacing w:before="0" w:after="0"/>
              <w:jc w:val="left"/>
              <w:rPr/>
            </w:pPr>
            <w:r>
              <w:rPr>
                <w:rFonts w:cs="Arial" w:ascii="Arial" w:hAnsi="Arial"/>
                <w:sz w:val="22"/>
                <w:szCs w:val="22"/>
                <w:lang w:bidi="ar-SA"/>
              </w:rPr>
              <w:t>{#indicadoresResultado}{indicador}</w:t>
            </w:r>
          </w:p>
        </w:tc>
        <w:tc>
          <w:tcPr>
            <w:tcW w:w="2187" w:type="dxa"/>
            <w:tcBorders/>
            <w:vAlign w:val="center"/>
          </w:tcPr>
          <w:p>
            <w:pPr>
              <w:pStyle w:val="Normal"/>
              <w:widowControl/>
              <w:suppressAutoHyphens w:val="true"/>
              <w:spacing w:before="0" w:after="0"/>
              <w:jc w:val="left"/>
              <w:rPr/>
            </w:pPr>
            <w:bookmarkStart w:id="14" w:name="_Hlk190431515_Copia_1_Copia_1"/>
            <w:bookmarkEnd w:id="14"/>
            <w:r>
              <w:rPr>
                <w:rFonts w:cs="Arial" w:ascii="Arial" w:hAnsi="Arial"/>
                <w:sz w:val="22"/>
                <w:szCs w:val="22"/>
                <w:lang w:bidi="ar-SA"/>
              </w:rPr>
              <w:t>{previsto}</w:t>
            </w:r>
          </w:p>
        </w:tc>
        <w:tc>
          <w:tcPr>
            <w:tcW w:w="2216" w:type="dxa"/>
            <w:tcBorders/>
            <w:vAlign w:val="center"/>
          </w:tcPr>
          <w:p>
            <w:pPr>
              <w:pStyle w:val="Normal"/>
              <w:widowControl/>
              <w:suppressAutoHyphens w:val="true"/>
              <w:spacing w:before="0" w:after="0"/>
              <w:jc w:val="left"/>
              <w:rPr/>
            </w:pPr>
            <w:bookmarkStart w:id="15" w:name="_Hlk190431515_Copia_1_Copia_1_Copia_1"/>
            <w:bookmarkEnd w:id="15"/>
            <w:r>
              <w:rPr>
                <w:lang w:bidi="ar-SA"/>
              </w:rPr>
              <w:t>{alcanzado}{/indicadoresResultado}</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jc w:val="both"/>
        <w:rPr>
          <w:rFonts w:ascii="Arial" w:hAnsi="Arial" w:cs="Arial"/>
          <w:sz w:val="28"/>
          <w:szCs w:val="28"/>
        </w:rPr>
      </w:pPr>
      <w:r>
        <w:rPr>
          <w:rFonts w:cs="Arial" w:ascii="Arial" w:hAnsi="Arial"/>
          <w:sz w:val="28"/>
          <w:szCs w:val="28"/>
        </w:rPr>
        <w:t>Detalles de seguimiento</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r>
    </w:p>
    <w:p>
      <w:pPr>
        <w:pStyle w:val="Normal"/>
        <w:jc w:val="both"/>
        <w:rPr>
          <w:rFonts w:ascii="Arial" w:hAnsi="Arial" w:cs="Arial"/>
          <w:sz w:val="28"/>
          <w:szCs w:val="28"/>
        </w:rPr>
      </w:pPr>
      <w:r>
        <w:rPr>
          <w:rFonts w:cs="Arial" w:ascii="Arial" w:hAnsi="Arial"/>
          <w:sz w:val="28"/>
          <w:szCs w:val="28"/>
        </w:rPr>
        <w:t>Valoración final y recomendaciones</w:t>
      </w:r>
    </w:p>
    <w:p>
      <w:pPr>
        <w:pStyle w:val="Normal"/>
        <w:jc w:val="both"/>
        <w:rPr>
          <w:rFonts w:ascii="Arial" w:hAnsi="Arial" w:cs="Arial"/>
          <w:sz w:val="28"/>
          <w:szCs w:val="28"/>
        </w:rPr>
      </w:pPr>
      <w:r>
        <w:rPr>
          <w:rFonts w:cs="Arial" w:ascii="Arial" w:hAnsi="Arial"/>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themeColor="background1" w:themeShade="a6" w:val="A6A6A6"/>
          <w:sz w:val="28"/>
          <w:szCs w:val="28"/>
        </w:rPr>
      </w:pPr>
      <w:r>
        <w:rPr>
          <w:rFonts w:cs="Arial" w:ascii="Arial" w:hAnsi="Arial"/>
          <w:color w:themeColor="background1" w:themeShade="a6" w:val="A6A6A6"/>
          <w:sz w:val="28"/>
          <w:szCs w:val="28"/>
        </w:rPr>
      </w:r>
    </w:p>
    <w:p>
      <w:pPr>
        <w:pStyle w:val="Normal"/>
        <w:spacing w:lineRule="auto" w:line="360" w:before="0" w:after="0"/>
        <w:contextualSpacing/>
        <w:jc w:val="both"/>
        <w:rPr>
          <w:color w:val="000000"/>
        </w:rPr>
      </w:pPr>
      <w:r>
        <w:rPr>
          <w:rFonts w:eastAsia="SimSun"/>
          <w:i/>
          <w:iCs/>
          <w:color w:val="000000"/>
          <w:sz w:val="22"/>
          <w:szCs w:val="22"/>
          <w:lang w:val="es-ES" w:eastAsia="en-US"/>
        </w:rPr>
        <w:t>{/fichasServicio}</w:t>
      </w:r>
    </w:p>
    <w:p>
      <w:pPr>
        <w:pStyle w:val="Heading1"/>
        <w:numPr>
          <w:ilvl w:val="0"/>
          <w:numId w:val="2"/>
        </w:numPr>
        <w:ind w:hanging="426" w:left="426"/>
        <w:jc w:val="both"/>
        <w:rPr/>
      </w:pPr>
      <w:bookmarkStart w:id="16" w:name="__RefHeading___Toc6185_2100779321"/>
      <w:bookmarkStart w:id="17" w:name="_Toc167586013"/>
      <w:bookmarkEnd w:id="16"/>
      <w:r>
        <w:rPr/>
        <w:t>PLAN DE GESTIÓN ANUAL DEL PCDR: PRIORIZACIÓN DE EJES ACCIONES ASOCIADAS</w:t>
      </w:r>
      <w:bookmarkEnd w:id="17"/>
    </w:p>
    <w:p>
      <w:pPr>
        <w:pStyle w:val="1Texto"/>
        <w:rPr>
          <w:sz w:val="22"/>
          <w:szCs w:val="22"/>
        </w:rPr>
      </w:pPr>
      <w:r>
        <w:rPr>
          <w:sz w:val="22"/>
          <w:szCs w:val="22"/>
        </w:rPr>
        <w:t xml:space="preserve">Los Planes de Gestión Anuales (PGA) del PCDR establecen la planificación de las acciones a llevar a cabo durante el año, concretando de esta manera las líneas de actuación definidas en el PCDR y contribuyendo a la consecución de los objetivos marcados para todo el periodo programado. </w:t>
      </w:r>
    </w:p>
    <w:p>
      <w:pPr>
        <w:pStyle w:val="1Texto"/>
        <w:rPr>
          <w:sz w:val="22"/>
          <w:szCs w:val="22"/>
        </w:rPr>
      </w:pPr>
      <w:r>
        <w:rPr>
          <w:sz w:val="22"/>
          <w:szCs w:val="22"/>
        </w:rPr>
        <w:t>La ADR, como garante de la cohesión y coherencia del programa a lo largo de todas sus fases, tiene la responsabilidad de elaborar, coordinar y dar seguimiento al Plan de Gestión</w:t>
      </w:r>
      <w:r>
        <w:rPr/>
        <w:t xml:space="preserve"> </w:t>
      </w:r>
      <w:r>
        <w:rPr>
          <w:sz w:val="22"/>
          <w:szCs w:val="22"/>
        </w:rPr>
        <w:t>Anual del PCDR y la Memoria de Seguimiento Anual, así como de facilitar la colaboración entre los distintos actores asegurando el cumplimiento de los objetivos estratégicos.</w:t>
      </w:r>
    </w:p>
    <w:p>
      <w:pPr>
        <w:pStyle w:val="1Texto"/>
        <w:rPr>
          <w:sz w:val="22"/>
          <w:szCs w:val="22"/>
        </w:rPr>
      </w:pPr>
      <w:r>
        <w:rPr>
          <w:sz w:val="22"/>
          <w:szCs w:val="22"/>
        </w:rPr>
        <w:t xml:space="preserve">Para ello, se establece el Comité de Dirección del PCDR que, de manera colaborativa, </w:t>
      </w:r>
      <w:r>
        <w:rPr>
          <w:b/>
          <w:bCs/>
          <w:sz w:val="22"/>
          <w:szCs w:val="22"/>
        </w:rPr>
        <w:t>prioriza los ejes estratégicos a abordar cada año</w:t>
      </w:r>
      <w:r>
        <w:rPr>
          <w:sz w:val="22"/>
          <w:szCs w:val="22"/>
        </w:rPr>
        <w:t xml:space="preserve"> </w:t>
      </w:r>
      <w:r>
        <w:rPr>
          <w:b/>
          <w:bCs/>
          <w:sz w:val="22"/>
          <w:szCs w:val="22"/>
        </w:rPr>
        <w:t>y establece las acciones</w:t>
      </w:r>
      <w:r>
        <w:rPr>
          <w:sz w:val="22"/>
          <w:szCs w:val="22"/>
        </w:rPr>
        <w:t xml:space="preserve"> a desarrollar, que se han de caracterizar por su </w:t>
      </w:r>
      <w:r>
        <w:rPr>
          <w:b/>
          <w:bCs/>
          <w:sz w:val="22"/>
          <w:szCs w:val="22"/>
        </w:rPr>
        <w:t>carácter transformador</w:t>
      </w:r>
      <w:r>
        <w:rPr>
          <w:sz w:val="22"/>
          <w:szCs w:val="22"/>
        </w:rPr>
        <w:t xml:space="preserve">. La implicación de los diferentes agentes en el impulso de cada una de ellas se refuerza con la formalización de las correspondientes </w:t>
      </w:r>
      <w:r>
        <w:rPr>
          <w:b/>
          <w:bCs/>
          <w:sz w:val="22"/>
          <w:szCs w:val="22"/>
        </w:rPr>
        <w:t>muestras de interés</w:t>
      </w:r>
      <w:r>
        <w:rPr>
          <w:sz w:val="22"/>
          <w:szCs w:val="22"/>
        </w:rPr>
        <w:t>.</w:t>
      </w:r>
    </w:p>
    <w:p>
      <w:pPr>
        <w:pStyle w:val="Normal"/>
        <w:spacing w:lineRule="auto" w:line="360" w:before="0" w:after="0"/>
        <w:contextualSpacing/>
        <w:jc w:val="both"/>
        <w:rPr>
          <w:rFonts w:ascii="Arial" w:hAnsi="Arial" w:cs="Arial"/>
          <w:color w:themeColor="text1" w:val="000000"/>
          <w:sz w:val="22"/>
          <w:szCs w:val="22"/>
        </w:rPr>
      </w:pPr>
      <w:r>
        <w:rPr>
          <w:rFonts w:cs="Arial" w:ascii="Arial" w:hAnsi="Arial"/>
          <w:sz w:val="22"/>
          <w:szCs w:val="22"/>
        </w:rPr>
        <w:t>A continuación, se detalla la memoria del plan de gestión del PCDR de</w:t>
      </w:r>
      <w:r>
        <w:rPr>
          <w:rFonts w:cs="Arial" w:ascii="Arial" w:hAnsi="Arial"/>
          <w:b/>
          <w:bCs/>
          <w:color w:themeColor="accent2" w:val="E97132"/>
          <w:sz w:val="22"/>
          <w:szCs w:val="22"/>
        </w:rPr>
        <w:t xml:space="preserve"> </w:t>
      </w:r>
      <w:r>
        <w:rPr>
          <w:rFonts w:eastAsia="SimSun" w:cs="" w:ascii="Arial" w:hAnsi="Arial" w:cstheme="minorBidi"/>
          <w:b/>
          <w:bCs/>
          <w:color w:themeColor="text1" w:val="000000"/>
          <w:kern w:val="0"/>
          <w:sz w:val="22"/>
          <w:szCs w:val="22"/>
          <w:lang w:val="es-ES" w:eastAsia="en-US" w:bidi="ar-SA"/>
        </w:rPr>
        <w:t xml:space="preserve">{nComarca} {anioComarca} </w:t>
      </w:r>
      <w:r>
        <w:rPr>
          <w:rFonts w:cs="Arial" w:ascii="Arial" w:hAnsi="Arial"/>
          <w:color w:themeColor="text1" w:val="000000"/>
          <w:sz w:val="22"/>
          <w:szCs w:val="22"/>
        </w:rPr>
        <w:t>e</w:t>
      </w:r>
      <w:r>
        <w:rPr>
          <w:rFonts w:cs="Arial" w:ascii="Arial" w:hAnsi="Arial"/>
          <w:color w:themeColor="text1" w:val="000000"/>
          <w:sz w:val="22"/>
          <w:szCs w:val="22"/>
          <w:lang w:val="es-ES"/>
        </w:rPr>
        <w:t xml:space="preserve">n </w:t>
      </w:r>
      <w:r>
        <w:rPr>
          <w:rFonts w:cs="Arial" w:ascii="Arial" w:hAnsi="Arial"/>
          <w:sz w:val="22"/>
          <w:szCs w:val="22"/>
          <w:lang w:val="es-ES"/>
        </w:rPr>
        <w:t xml:space="preserve">base al modelo recogido en Anexo VIII </w:t>
      </w:r>
      <w:r>
        <w:rPr>
          <w:rFonts w:cs="Arial" w:ascii="Arial" w:hAnsi="Arial"/>
          <w:sz w:val="22"/>
          <w:szCs w:val="22"/>
        </w:rPr>
        <w:t>del documento que recoge la metodología de elaboración, ejecución y seguimiento de los mismos.</w:t>
      </w:r>
    </w:p>
    <w:p>
      <w:pPr>
        <w:pStyle w:val="Heading2"/>
        <w:rPr>
          <w:lang w:val="es-ES"/>
        </w:rPr>
      </w:pPr>
      <w:bookmarkStart w:id="18" w:name="__RefHeading___Toc6187_2100779321"/>
      <w:bookmarkStart w:id="19" w:name="_Toc1678581485"/>
      <w:bookmarkEnd w:id="18"/>
      <w:r>
        <w:rPr>
          <w:lang w:val="es-ES"/>
        </w:rPr>
        <w:t>5.1. PROCESO</w:t>
      </w:r>
      <w:bookmarkEnd w:id="19"/>
      <w:r>
        <w:rPr>
          <w:lang w:val="es-ES"/>
        </w:rPr>
        <w:t xml:space="preserve"> </w:t>
      </w:r>
    </w:p>
    <w:p>
      <w:pPr>
        <w:pStyle w:val="Normal"/>
        <w:spacing w:lineRule="auto" w:line="360" w:before="0" w:after="0"/>
        <w:contextualSpacing/>
        <w:jc w:val="both"/>
        <w:rPr>
          <w:color w:val="000000"/>
        </w:rPr>
      </w:pPr>
      <w:r>
        <w:rPr>
          <w:color w:val="000000"/>
        </w:rPr>
        <w:t>{proceso}</w:t>
      </w:r>
    </w:p>
    <w:p>
      <w:pPr>
        <w:pStyle w:val="Heading2"/>
        <w:rPr>
          <w:lang w:val="es-ES"/>
        </w:rPr>
      </w:pPr>
      <w:bookmarkStart w:id="20" w:name="__RefHeading___Toc6189_2100779321"/>
      <w:bookmarkStart w:id="21" w:name="_Toc1888262221"/>
      <w:bookmarkEnd w:id="20"/>
      <w:r>
        <w:rPr>
          <w:lang w:val="es-ES"/>
        </w:rPr>
        <w:t>5.2. EJES PRIORITARIOS</w:t>
      </w:r>
      <w:bookmarkEnd w:id="21"/>
      <w:r>
        <w:rPr>
          <w:lang w:val="es-ES"/>
        </w:rPr>
        <w:t xml:space="preserve"> </w:t>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Como resultado del proceso anteriormente descrito, para el año </w:t>
      </w:r>
      <w:r>
        <w:rPr>
          <w:rFonts w:eastAsia="Times New Roman" w:cs="Arial" w:ascii="Arial" w:hAnsi="Arial"/>
          <w:color w:val="auto"/>
          <w:kern w:val="0"/>
          <w:sz w:val="22"/>
          <w:szCs w:val="22"/>
          <w:lang w:val="es-ES" w:eastAsia="es-ES_tradnl" w:bidi="ar-SA"/>
          <w14:ligatures w14:val="none"/>
        </w:rPr>
        <w:t>{anioComarca}</w:t>
      </w:r>
      <w:r>
        <w:rPr>
          <w:rFonts w:cs="Arial" w:ascii="Arial" w:hAnsi="Arial"/>
          <w:sz w:val="22"/>
          <w:szCs w:val="22"/>
          <w:lang w:val="es-ES"/>
        </w:rPr>
        <w:t xml:space="preserve"> se han priorizado los siguientes ejes: </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s-ES"/>
        </w:rPr>
      </w:pPr>
      <w:bookmarkStart w:id="22" w:name="__RefHeading___Toc6191_2100779321"/>
      <w:bookmarkStart w:id="23" w:name="_Toc1776397845"/>
      <w:bookmarkEnd w:id="22"/>
      <w:r>
        <w:rPr>
          <w:lang w:val="es-ES"/>
        </w:rPr>
        <w:t>5.3. RESUMEN Y ENCAJE DE LAS ACCIONES EN EL PCDR</w:t>
      </w:r>
      <w:bookmarkEnd w:id="23"/>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 xml:space="preserve">En el siguiente cuadro se muestran el conjunto de acciones seleccionadas y su encaje en el PCDR de </w:t>
      </w:r>
      <w:r>
        <w:rPr>
          <w:rFonts w:eastAsia="SimSun" w:cs="" w:ascii="Arial" w:hAnsi="Arial" w:cstheme="minorBidi"/>
          <w:b/>
          <w:bCs/>
          <w:i/>
          <w:iCs/>
          <w:color w:themeColor="text1" w:val="000000"/>
          <w:kern w:val="0"/>
          <w:sz w:val="22"/>
          <w:szCs w:val="22"/>
          <w:lang w:val="es-ES" w:eastAsia="en-US" w:bidi="ar-SA"/>
        </w:rPr>
        <w:t>{nComarca} {anioComarca}</w:t>
      </w:r>
      <w:r>
        <w:rPr>
          <w:rFonts w:cs="Arial" w:ascii="Arial" w:hAnsi="Arial"/>
          <w:color w:themeColor="text1" w:val="000000"/>
          <w:sz w:val="22"/>
          <w:szCs w:val="22"/>
          <w:lang w:val="es-ES"/>
        </w:rPr>
        <w:t xml:space="preserve"> </w:t>
      </w:r>
      <w:r>
        <w:rPr>
          <w:rFonts w:cs="Arial" w:ascii="Arial" w:hAnsi="Arial"/>
          <w:sz w:val="22"/>
          <w:szCs w:val="22"/>
          <w:lang w:val="es-ES"/>
        </w:rPr>
        <w:t>a través de la relación con los ejes priorizados y las líneas de actuación a las que responden dichas acciones.</w:t>
      </w:r>
    </w:p>
    <w:p>
      <w:pPr>
        <w:pStyle w:val="Normal"/>
        <w:jc w:val="both"/>
        <w:rPr/>
      </w:pPr>
      <w:r>
        <w:rPr/>
      </w:r>
    </w:p>
    <w:tbl>
      <w:tblPr>
        <w:tblStyle w:val="Tablaconcuadrcula"/>
        <w:tblW w:w="849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560"/>
        <w:gridCol w:w="2550"/>
        <w:gridCol w:w="1095"/>
        <w:gridCol w:w="3293"/>
      </w:tblGrid>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Eje</w:t>
            </w:r>
          </w:p>
        </w:tc>
        <w:tc>
          <w:tcPr>
            <w:tcW w:w="2550"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Línea de actuación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Acción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center"/>
              <w:rPr>
                <w:b/>
                <w:bCs/>
              </w:rPr>
            </w:pPr>
            <w:r>
              <w:rPr>
                <w:b/>
                <w:bCs/>
                <w:lang w:bidi="ar-SA"/>
              </w:rPr>
              <w:t>Situación de la acción</w:t>
            </w:r>
          </w:p>
        </w:tc>
      </w:tr>
      <w:tr>
        <w:trPr>
          <w:trHeight w:val="300" w:hRule="atLeast"/>
        </w:trPr>
        <w:tc>
          <w:tcPr>
            <w:tcW w:w="1560"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bidi="ar-SA"/>
              </w:rPr>
              <w:t>{#acciones}{nombreEje}</w:t>
            </w:r>
          </w:p>
        </w:tc>
        <w:tc>
          <w:tcPr>
            <w:tcW w:w="2550" w:type="dxa"/>
            <w:tcBorders>
              <w:top w:val="single" w:sz="8" w:space="0" w:color="000000"/>
              <w:left w:val="nil"/>
              <w:bottom w:val="single" w:sz="8" w:space="0" w:color="000000"/>
              <w:right w:val="nil"/>
            </w:tcBorders>
          </w:tcPr>
          <w:p>
            <w:pPr>
              <w:pStyle w:val="1Texto"/>
              <w:widowControl/>
              <w:suppressAutoHyphens w:val="true"/>
              <w:spacing w:before="0" w:after="0"/>
              <w:jc w:val="left"/>
              <w:rPr/>
            </w:pPr>
            <w:r>
              <w:rPr>
                <w:i/>
                <w:iCs/>
                <w:color w:val="000000"/>
                <w:lang w:bidi="ar-SA"/>
              </w:rPr>
              <w:t>{lineaActuaccion}</w:t>
            </w:r>
          </w:p>
        </w:tc>
        <w:tc>
          <w:tcPr>
            <w:tcW w:w="1095"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lang w:val="es-ES" w:bidi="ar-SA"/>
              </w:rPr>
              <w:t>{accion}</w:t>
            </w:r>
          </w:p>
        </w:tc>
        <w:tc>
          <w:tcPr>
            <w:tcW w:w="3293" w:type="dxa"/>
            <w:tcBorders>
              <w:top w:val="single" w:sz="8" w:space="0" w:color="000000"/>
              <w:left w:val="nil"/>
              <w:bottom w:val="single" w:sz="8" w:space="0" w:color="000000"/>
              <w:right w:val="nil"/>
            </w:tcBorders>
          </w:tcPr>
          <w:p>
            <w:pPr>
              <w:pStyle w:val="Normal"/>
              <w:widowControl/>
              <w:suppressAutoHyphens w:val="true"/>
              <w:spacing w:before="0" w:after="0"/>
              <w:jc w:val="left"/>
              <w:rPr/>
            </w:pPr>
            <w:r>
              <w:rPr>
                <w:rFonts w:cs="Arial" w:ascii="Arial" w:hAnsi="Arial"/>
                <w:i/>
                <w:iCs/>
                <w:color w:val="000000"/>
                <w:sz w:val="22"/>
                <w:szCs w:val="22"/>
              </w:rPr>
              <w:t>{situacion}{/acciones}</w:t>
            </w:r>
          </w:p>
        </w:tc>
      </w:tr>
    </w:tbl>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Normal"/>
        <w:jc w:val="both"/>
        <w:rPr>
          <w:rFonts w:ascii="Arial" w:hAnsi="Arial" w:cs="Arial"/>
          <w:color w:themeColor="background1" w:themeShade="a6" w:val="A6A6A6"/>
          <w:sz w:val="28"/>
          <w:szCs w:val="28"/>
          <w:highlight w:val="yellow"/>
        </w:rPr>
      </w:pPr>
      <w:r>
        <w:rPr>
          <w:rFonts w:cs="Arial" w:ascii="Arial" w:hAnsi="Arial"/>
          <w:color w:themeColor="background1" w:themeShade="a6" w:val="A6A6A6"/>
          <w:sz w:val="28"/>
          <w:szCs w:val="28"/>
          <w:highlight w:val="yellow"/>
        </w:rPr>
      </w:r>
    </w:p>
    <w:p>
      <w:pPr>
        <w:pStyle w:val="Heading2"/>
        <w:rPr>
          <w:lang w:val="es-ES"/>
        </w:rPr>
      </w:pPr>
      <w:bookmarkStart w:id="24" w:name="__RefHeading___Toc6193_2100779321"/>
      <w:bookmarkStart w:id="25" w:name="_Toc1651057210"/>
      <w:bookmarkEnd w:id="24"/>
      <w:r>
        <w:rPr>
          <w:lang w:val="es-ES"/>
        </w:rPr>
        <w:t>5.4. DESCRIP</w:t>
      </w:r>
      <w:r>
        <w:rPr>
          <w:color w:val="000000"/>
          <w:lang w:val="es-ES"/>
        </w:rPr>
        <w:t>CIÓN DE LAS ACCIONES PREVISTAS PARA LA ANUALIDAD</w:t>
      </w:r>
      <w:bookmarkEnd w:id="25"/>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w:t>
      </w:r>
      <w:r>
        <w:rPr>
          <w:rFonts w:cs="Arial"/>
          <w:b w:val="false"/>
          <w:bCs w:val="false"/>
          <w:i/>
          <w:iCs/>
          <w:color w:val="000000"/>
          <w:sz w:val="22"/>
          <w:szCs w:val="22"/>
          <w:lang w:val="es-ES_tradnl"/>
        </w:rPr>
        <w:t>}</w:t>
      </w:r>
    </w:p>
    <w:p>
      <w:pPr>
        <w:pStyle w:val="1Texto"/>
        <w:rPr>
          <w:color w:val="000000"/>
        </w:rPr>
      </w:pPr>
      <w:r>
        <w:rPr>
          <w:rFonts w:cs="Arial"/>
          <w:b/>
          <w:bCs/>
          <w:color w:val="000000"/>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color w:val="000000"/>
              </w:rPr>
            </w:pPr>
            <w:r>
              <w:rPr>
                <w:rFonts w:cs="Arial"/>
                <w:color w:val="000000"/>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color w:val="000000"/>
              </w:rPr>
            </w:pPr>
            <w:r>
              <w:rPr>
                <w:rFonts w:cs="Arial"/>
                <w:color w:val="000000"/>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color w:val="000000"/>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color w:val="000000"/>
              </w:rPr>
            </w:pPr>
            <w:r>
              <w:rPr>
                <w:rFonts w:cs="Arial"/>
                <w:color w:val="000000"/>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color w:val="000000"/>
        </w:rPr>
      </w:pPr>
      <w:r>
        <w:rPr>
          <w:rFonts w:cs="Arial"/>
          <w:color w:val="000000"/>
          <w:sz w:val="22"/>
          <w:szCs w:val="22"/>
        </w:rPr>
        <w:t>Objetivos de la acción:</w:t>
      </w:r>
      <w:bookmarkStart w:id="26" w:name="_Hlk193184853"/>
    </w:p>
    <w:p>
      <w:pPr>
        <w:pStyle w:val="1Texto"/>
        <w:pBdr>
          <w:top w:val="single" w:sz="4" w:space="1" w:color="000000"/>
          <w:left w:val="single" w:sz="4" w:space="4" w:color="000000"/>
          <w:bottom w:val="single" w:sz="4" w:space="1" w:color="000000"/>
          <w:right w:val="single" w:sz="4" w:space="4" w:color="000000"/>
        </w:pBdr>
        <w:rPr>
          <w:color w:val="000000"/>
        </w:rPr>
      </w:pPr>
      <w:bookmarkEnd w:id="26"/>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rFonts w:cs="Arial"/>
          <w:i/>
          <w:i/>
          <w:iCs/>
          <w:color w:themeColor="accent5" w:val="A02B93"/>
          <w:sz w:val="22"/>
          <w:szCs w:val="22"/>
          <w:lang w:val="es-ES_tradnl"/>
        </w:rPr>
      </w:pPr>
      <w:r>
        <w:rPr>
          <w:rFonts w:cs="Arial"/>
          <w:color w:val="000000"/>
          <w:sz w:val="22"/>
          <w:szCs w:val="22"/>
        </w:rPr>
        <w:t>Integración de los principio</w:t>
      </w:r>
      <w:r>
        <w:rPr>
          <w:rFonts w:cs="Arial"/>
          <w:sz w:val="22"/>
          <w:szCs w:val="22"/>
        </w:rPr>
        <w:t xml:space="preserve">s transversales: </w:t>
      </w:r>
      <w:bookmarkStart w:id="27" w:name="_Hlk194316965"/>
    </w:p>
    <w:p>
      <w:pPr>
        <w:pStyle w:val="1Texto"/>
        <w:pBdr>
          <w:top w:val="single" w:sz="4" w:space="1" w:color="000000"/>
          <w:left w:val="single" w:sz="4" w:space="4" w:color="000000"/>
          <w:bottom w:val="single" w:sz="4" w:space="1" w:color="000000"/>
          <w:right w:val="single" w:sz="4" w:space="4" w:color="000000"/>
        </w:pBdr>
        <w:rPr>
          <w:rFonts w:cs="Arial"/>
          <w:sz w:val="22"/>
          <w:szCs w:val="22"/>
        </w:rPr>
      </w:pPr>
      <w:r>
        <w:rPr>
          <w:rFonts w:cs="Arial"/>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27"/>
      <w:r>
        <w:rPr>
          <w:i/>
          <w:iCs/>
          <w:color w:val="000000"/>
        </w:rPr>
        <w:t>{dInteligent}</w:t>
      </w:r>
    </w:p>
    <w:p>
      <w:pPr>
        <w:pStyle w:val="1Texto"/>
        <w:rPr>
          <w:rFonts w:cs="Arial"/>
          <w:color w:themeColor="text1" w:val="000000"/>
          <w:sz w:val="22"/>
          <w:szCs w:val="22"/>
        </w:rPr>
      </w:pPr>
      <w:r>
        <w:rPr>
          <w:rFonts w:cs="Arial"/>
          <w:color w:themeColor="text1" w:val="000000"/>
          <w:sz w:val="22"/>
          <w:szCs w:val="22"/>
        </w:rPr>
      </w:r>
    </w:p>
    <w:p>
      <w:pPr>
        <w:pStyle w:val="1Texto"/>
        <w:rPr>
          <w:color w:val="000000"/>
        </w:rPr>
      </w:pPr>
      <w:r>
        <w:rPr>
          <w:rFonts w:cs="Arial"/>
          <w:color w:val="000000"/>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rHeight w:val="1339" w:hRule="atLeast"/>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{presupuestoCuantia}</w:t>
            </w:r>
          </w:p>
        </w:tc>
        <w:tc>
          <w:tcPr>
            <w:tcW w:w="3799" w:type="dxa"/>
            <w:tcBorders>
              <w:bottom w:val="single" w:sz="8" w:space="0" w:color="000000"/>
              <w:right w:val="single" w:sz="8" w:space="0" w:color="000000"/>
            </w:tcBorders>
          </w:tcPr>
          <w:p>
            <w:pPr>
              <w:pStyle w:val="Normal"/>
              <w:jc w:val="left"/>
              <w:rPr/>
            </w:pPr>
            <w:r>
              <w:rPr>
                <w:rFonts w:ascii="Aptos" w:hAnsi="Aptos"/>
                <w:i/>
                <w:iCs/>
                <w:color w:val="000000"/>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previsto</w:t>
            </w:r>
          </w:p>
        </w:tc>
        <w:tc>
          <w:tcPr>
            <w:tcW w:w="2745" w:type="dxa"/>
            <w:tcBorders>
              <w:top w:val="single" w:sz="8" w:space="0" w:color="000000"/>
              <w:bottom w:val="single" w:sz="8" w:space="0" w:color="000000"/>
              <w:right w:val="single" w:sz="8" w:space="0" w:color="000000"/>
            </w:tcBorders>
          </w:tcPr>
          <w:p>
            <w:pPr>
              <w:pStyle w:val="Normal"/>
              <w:rPr>
                <w:color w:val="000000"/>
              </w:rPr>
            </w:pPr>
            <w:r>
              <w:rPr>
                <w:rFonts w:ascii="Aptos" w:hAnsi="Aptos"/>
                <w:color w:val="000000"/>
              </w:rPr>
              <w:t>Presupuesto ejecutado</w:t>
            </w:r>
          </w:p>
        </w:tc>
        <w:tc>
          <w:tcPr>
            <w:tcW w:w="3543" w:type="dxa"/>
            <w:tcBorders>
              <w:top w:val="single" w:sz="8" w:space="0" w:color="000000"/>
              <w:bottom w:val="single" w:sz="8" w:space="0" w:color="000000"/>
              <w:right w:val="single" w:sz="8" w:space="0" w:color="000000"/>
            </w:tcBorders>
          </w:tcPr>
          <w:p>
            <w:pPr>
              <w:pStyle w:val="Normal"/>
              <w:ind w:left="720"/>
              <w:rPr>
                <w:color w:val="000000"/>
              </w:rPr>
            </w:pPr>
            <w:r>
              <w:rPr>
                <w:rFonts w:ascii="Aptos" w:hAnsi="Aptos"/>
                <w:color w:val="000000"/>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i/>
                <w:iCs/>
                <w:color w:val="000000"/>
              </w:rPr>
              <w:t>{presupuestoPrevisto}</w:t>
            </w:r>
          </w:p>
        </w:tc>
        <w:tc>
          <w:tcPr>
            <w:tcW w:w="2745" w:type="dxa"/>
            <w:tcBorders>
              <w:bottom w:val="single" w:sz="8" w:space="0" w:color="000000"/>
              <w:right w:val="single" w:sz="8" w:space="0" w:color="000000"/>
            </w:tcBorders>
          </w:tcPr>
          <w:p>
            <w:pPr>
              <w:pStyle w:val="Normal"/>
              <w:jc w:val="left"/>
              <w:rPr/>
            </w:pPr>
            <w:r>
              <w:rPr>
                <w:rFonts w:ascii="Aptos" w:hAnsi="Aptos"/>
                <w:i/>
                <w:iCs/>
                <w:color w:val="000000"/>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eastAsiaTheme="minorHAnsi"/>
                <w:i/>
                <w:iCs/>
                <w:color w:val="000000"/>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anual*</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28" w:name="_Hlk192747879"/>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28"/>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b w:val="false"/>
          <w:bCs w:val="false"/>
          <w:i/>
          <w:iCs/>
          <w:color w:val="000000"/>
          <w:lang w:val="es-ES_tradnl" w:bidi="ar-SA"/>
        </w:rPr>
        <w:t>resumenAccion</w:t>
      </w:r>
      <w:r>
        <w:rPr>
          <w:b w:val="false"/>
          <w:bCs w:val="false"/>
          <w:i/>
          <w:iCs/>
          <w:color w:val="000000"/>
          <w:lang w:val="es-ES_tradnl"/>
        </w:rPr>
        <w:t>}</w:t>
      </w:r>
    </w:p>
    <w:p>
      <w:pPr>
        <w:pStyle w:val="Heading1"/>
        <w:numPr>
          <w:ilvl w:val="0"/>
          <w:numId w:val="2"/>
        </w:numPr>
        <w:ind w:hanging="426" w:left="426"/>
        <w:jc w:val="both"/>
        <w:rPr/>
      </w:pPr>
      <w:bookmarkStart w:id="29" w:name="__RefHeading___Toc6195_2100779321"/>
      <w:bookmarkStart w:id="30" w:name="_Toc1172517737"/>
      <w:bookmarkEnd w:id="29"/>
      <w:r>
        <w:rPr/>
        <w:t>ACCIONES Y PROYECTOS</w:t>
      </w:r>
      <w:bookmarkEnd w:id="30"/>
    </w:p>
    <w:p>
      <w:pPr>
        <w:pStyle w:val="Normal"/>
        <w:ind w:left="360"/>
        <w:jc w:val="both"/>
        <w:rPr>
          <w:rFonts w:ascii="Arial" w:hAnsi="Arial" w:cs="Arial"/>
          <w:sz w:val="22"/>
          <w:szCs w:val="22"/>
        </w:rPr>
      </w:pPr>
      <w:r>
        <w:rPr>
          <w:rFonts w:cs="Arial" w:ascii="Arial" w:hAnsi="Arial"/>
          <w:sz w:val="22"/>
          <w:szCs w:val="22"/>
        </w:rPr>
      </w:r>
    </w:p>
    <w:p>
      <w:pPr>
        <w:pStyle w:val="Normal"/>
        <w:spacing w:lineRule="auto" w:line="360" w:before="0" w:after="0"/>
        <w:contextualSpacing/>
        <w:jc w:val="both"/>
        <w:rPr>
          <w:rFonts w:ascii="Arial" w:hAnsi="Arial" w:cs="Arial"/>
          <w:sz w:val="22"/>
          <w:szCs w:val="22"/>
          <w:lang w:val="es-ES"/>
        </w:rPr>
      </w:pPr>
      <w:r>
        <w:rPr>
          <w:rFonts w:cs="Arial" w:ascii="Arial" w:hAnsi="Arial"/>
          <w:sz w:val="22"/>
          <w:szCs w:val="22"/>
          <w:lang w:val="es-ES"/>
        </w:rPr>
        <w:t>En este apartado se recogen las acciones impulsadas en la comarca que, si bien no han sido incluidas en el PGA del PCDR, son consideradas importantes para el desarrollo de la misma.</w:t>
      </w:r>
    </w:p>
    <w:p>
      <w:pPr>
        <w:pStyle w:val="1Texto"/>
        <w:rPr>
          <w:color w:val="000000"/>
        </w:rPr>
      </w:pPr>
      <w:r>
        <w:rPr>
          <w:rFonts w:cs="Arial"/>
          <w:b w:val="false"/>
          <w:bCs w:val="false"/>
          <w:i/>
          <w:iCs/>
          <w:color w:val="000000"/>
          <w:sz w:val="22"/>
          <w:szCs w:val="22"/>
          <w:lang w:val="es-ES_tradnl"/>
        </w:rPr>
        <w:t>{</w:t>
      </w:r>
      <w:r>
        <w:rPr>
          <w:rFonts w:cs="Arial"/>
          <w:b w:val="false"/>
          <w:bCs w:val="false"/>
          <w:i/>
          <w:iCs/>
          <w:color w:val="000000"/>
          <w:sz w:val="22"/>
          <w:szCs w:val="22"/>
          <w:lang w:val="es-ES_tradnl" w:bidi="ar-SA"/>
        </w:rPr>
        <w:t>#resumenAccionYProyectos</w:t>
      </w:r>
      <w:r>
        <w:rPr>
          <w:rFonts w:cs="Arial"/>
          <w:b w:val="false"/>
          <w:bCs w:val="false"/>
          <w:i/>
          <w:iCs/>
          <w:color w:val="000000"/>
          <w:sz w:val="22"/>
          <w:szCs w:val="22"/>
          <w:lang w:val="es-ES_tradnl"/>
        </w:rPr>
        <w:t>}</w:t>
      </w:r>
    </w:p>
    <w:p>
      <w:pPr>
        <w:pStyle w:val="1Texto"/>
        <w:rPr>
          <w:rFonts w:cs="Arial"/>
          <w:b/>
          <w:bCs/>
          <w:sz w:val="22"/>
          <w:szCs w:val="22"/>
        </w:rPr>
      </w:pPr>
      <w:r>
        <w:rPr>
          <w:rFonts w:cs="Arial"/>
          <w:b/>
          <w:bCs/>
          <w:sz w:val="22"/>
          <w:szCs w:val="22"/>
        </w:rPr>
        <w:t>ACCIÓN {accion}</w:t>
      </w:r>
    </w:p>
    <w:tbl>
      <w:tblPr>
        <w:tblStyle w:val="Tablaconcuadrcula"/>
        <w:tblW w:w="8489"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4944"/>
      </w:tblGrid>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Eje</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Línea de actuación</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 ejecutora</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Entidades implicadas</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rPr>
            </w:pPr>
            <w:r>
              <w:rPr>
                <w:rFonts w:cs="Arial"/>
                <w:sz w:val="22"/>
                <w:szCs w:val="22"/>
                <w:lang w:bidi="ar-SA"/>
              </w:rPr>
              <w:t>Tratamiento territorial 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spacing w:before="0" w:after="0"/>
              <w:jc w:val="left"/>
              <w:rPr>
                <w:rFonts w:cs="Arial"/>
                <w:sz w:val="22"/>
                <w:szCs w:val="22"/>
              </w:rPr>
            </w:pPr>
            <w:r>
              <w:rPr>
                <w:rFonts w:cs="Arial"/>
                <w:sz w:val="22"/>
                <w:szCs w:val="22"/>
                <w:lang w:bidi="ar-SA"/>
              </w:rPr>
              <w:t>Tratamiento territorial supracomarcal</w:t>
            </w:r>
          </w:p>
        </w:tc>
        <w:tc>
          <w:tcPr>
            <w:tcW w:w="4944"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shd w:color="auto" w:fill="FFFFFF" w:themeFill="background1" w:val="clear"/>
          </w:tcPr>
          <w:p>
            <w:pPr>
              <w:pStyle w:val="1Texto"/>
              <w:widowControl/>
              <w:suppressAutoHyphens w:val="true"/>
              <w:spacing w:before="0" w:after="0"/>
              <w:rPr>
                <w:rFonts w:cs="Arial"/>
                <w:color w:val="auto"/>
                <w:sz w:val="22"/>
                <w:szCs w:val="22"/>
              </w:rPr>
            </w:pPr>
            <w:r>
              <w:rPr>
                <w:rFonts w:cs="Arial"/>
                <w:color w:val="auto"/>
                <w:sz w:val="22"/>
                <w:szCs w:val="22"/>
                <w:lang w:bidi="ar-SA"/>
              </w:rPr>
              <w:t>Plurianual</w:t>
            </w:r>
          </w:p>
        </w:tc>
        <w:tc>
          <w:tcPr>
            <w:tcW w:w="4944" w:type="dxa"/>
            <w:tcBorders>
              <w:left w:val="nil"/>
              <w:right w:val="nil"/>
            </w:tcBorders>
            <w:shd w:color="auto" w:fill="FFFFFF" w:themeFill="background1" w:val="clear"/>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r>
        <w:trPr>
          <w:trHeight w:val="300" w:hRule="atLeast"/>
        </w:trPr>
        <w:tc>
          <w:tcPr>
            <w:tcW w:w="3544" w:type="dxa"/>
            <w:tcBorders>
              <w:left w:val="nil"/>
              <w:right w:val="nil"/>
            </w:tcBorders>
            <w:shd w:color="auto" w:fill="FFFFFF" w:themeFill="background1" w:val="clear"/>
          </w:tcPr>
          <w:p>
            <w:pPr>
              <w:pStyle w:val="1Texto"/>
              <w:widowControl/>
              <w:suppressAutoHyphens w:val="true"/>
              <w:spacing w:before="200" w:after="200"/>
              <w:rPr>
                <w:rFonts w:cs="Arial"/>
                <w:color w:val="auto"/>
                <w:sz w:val="22"/>
                <w:szCs w:val="22"/>
              </w:rPr>
            </w:pPr>
            <w:r>
              <w:rPr>
                <w:rFonts w:cs="Arial"/>
                <w:color w:val="auto"/>
                <w:sz w:val="22"/>
                <w:szCs w:val="22"/>
                <w:lang w:bidi="ar-SA"/>
              </w:rPr>
              <w:t>Situación de la acción</w:t>
            </w:r>
          </w:p>
        </w:tc>
        <w:tc>
          <w:tcPr>
            <w:tcW w:w="4944" w:type="dxa"/>
            <w:tcBorders>
              <w:left w:val="nil"/>
              <w:right w:val="nil"/>
            </w:tcBorders>
            <w:shd w:color="auto" w:fill="FFFFFF" w:themeFill="background1" w:val="clear"/>
          </w:tcPr>
          <w:p>
            <w:pPr>
              <w:pStyle w:val="Normal"/>
              <w:widowControl/>
              <w:suppressAutoHyphens w:val="true"/>
              <w:spacing w:before="0" w:after="0"/>
              <w:jc w:val="left"/>
              <w:rPr>
                <w:color w:val="000000"/>
              </w:rPr>
            </w:pPr>
            <w:r>
              <w:rPr>
                <w:rFonts w:cs="Arial" w:ascii="Arial" w:hAnsi="Arial"/>
                <w:i/>
                <w:iCs/>
                <w:color w:val="000000"/>
                <w:sz w:val="22"/>
                <w:szCs w:val="22"/>
              </w:rPr>
              <w:t>{situacion}</w:t>
            </w:r>
          </w:p>
        </w:tc>
      </w:tr>
    </w:tbl>
    <w:p>
      <w:pPr>
        <w:pStyle w:val="1Texto"/>
        <w:rPr>
          <w:rFonts w:cs="Arial"/>
          <w:sz w:val="22"/>
          <w:szCs w:val="22"/>
        </w:rPr>
      </w:pPr>
      <w:r>
        <w:rPr>
          <w:rFonts w:cs="Arial"/>
          <w:sz w:val="22"/>
          <w:szCs w:val="22"/>
        </w:rPr>
        <w:t>Objetivos de la acción:</w:t>
      </w:r>
      <w:bookmarkStart w:id="31" w:name="_Hlk193184853_Copia_1"/>
    </w:p>
    <w:p>
      <w:pPr>
        <w:pStyle w:val="1Texto"/>
        <w:pBdr>
          <w:top w:val="single" w:sz="4" w:space="1" w:color="000000"/>
          <w:left w:val="single" w:sz="4" w:space="4" w:color="000000"/>
          <w:bottom w:val="single" w:sz="4" w:space="1" w:color="000000"/>
          <w:right w:val="single" w:sz="4" w:space="4" w:color="000000"/>
        </w:pBdr>
        <w:rPr>
          <w:color w:val="000000"/>
        </w:rPr>
      </w:pPr>
      <w:bookmarkEnd w:id="31"/>
      <w:r>
        <w:rPr>
          <w:color w:val="000000"/>
        </w:rPr>
        <w:t>{oAccion}</w:t>
      </w:r>
    </w:p>
    <w:p>
      <w:pPr>
        <w:pStyle w:val="1Texto"/>
        <w:rPr>
          <w:color w:val="000000"/>
        </w:rPr>
      </w:pPr>
      <w:r>
        <w:rPr>
          <w:rFonts w:cs="Arial"/>
          <w:color w:val="000000"/>
          <w:sz w:val="22"/>
          <w:szCs w:val="22"/>
        </w:rPr>
        <w:t>Descripción de la acción:</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w:t>
      </w:r>
      <w:r>
        <w:rPr>
          <w:i/>
          <w:iCs/>
          <w:color w:val="000000"/>
        </w:rPr>
        <w:t>dAccion}</w:t>
      </w:r>
    </w:p>
    <w:p>
      <w:pPr>
        <w:pStyle w:val="1Texto"/>
        <w:rPr>
          <w:color w:val="000000"/>
        </w:rPr>
      </w:pPr>
      <w:r>
        <w:rPr>
          <w:rFonts w:cs="Arial"/>
          <w:color w:val="000000"/>
          <w:sz w:val="22"/>
          <w:szCs w:val="22"/>
        </w:rPr>
        <w:t xml:space="preserve">Integración de los principios transversales: </w:t>
      </w:r>
      <w:bookmarkStart w:id="32" w:name="_Hlk194316965_Copia_1"/>
      <w:r>
        <w:rPr>
          <w:rFonts w:cs="Arial"/>
          <w:i/>
          <w:iCs/>
          <w:color w:val="000000"/>
          <w:sz w:val="22"/>
          <w:szCs w:val="22"/>
          <w:lang w:val="es-ES_tradnl"/>
        </w:rPr>
        <w:t>(en los casos que proceda)</w:t>
      </w:r>
      <w:r>
        <w:rPr>
          <w:rFonts w:cs="Arial"/>
          <w:color w:val="000000"/>
          <w:sz w:val="22"/>
          <w:szCs w:val="22"/>
        </w:rPr>
        <w:t xml:space="preserve"> Integración de los principios transversales: </w:t>
      </w:r>
      <w:r>
        <w:rPr>
          <w:rFonts w:cs="Arial"/>
          <w:i/>
          <w:iCs/>
          <w:color w:val="000000"/>
          <w:sz w:val="22"/>
          <w:szCs w:val="22"/>
          <w:lang w:val="es-ES_tradnl"/>
        </w:rPr>
        <w:t>(en los casos que proceda)</w:t>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Principio de igualdad de mujeres y hombres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{iMujHom}</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Euskera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Sostenibilidad</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pBdr>
          <w:top w:val="single" w:sz="4" w:space="1" w:color="000000"/>
          <w:left w:val="single" w:sz="4" w:space="4" w:color="000000"/>
          <w:bottom w:val="single" w:sz="4" w:space="1" w:color="000000"/>
          <w:right w:val="single" w:sz="4" w:space="4" w:color="000000"/>
        </w:pBdr>
        <w:rPr>
          <w:color w:val="000000"/>
        </w:rPr>
      </w:pPr>
      <w:r>
        <w:rPr>
          <w:rFonts w:cs="Arial"/>
          <w:color w:val="000000"/>
          <w:sz w:val="22"/>
          <w:szCs w:val="22"/>
        </w:rPr>
        <w:t>Transformación digital y desarrollo de territorios inteligentes</w:t>
      </w:r>
    </w:p>
    <w:p>
      <w:pPr>
        <w:pStyle w:val="1Texto"/>
        <w:pBdr>
          <w:top w:val="single" w:sz="4" w:space="1" w:color="000000"/>
          <w:left w:val="single" w:sz="4" w:space="4" w:color="000000"/>
          <w:bottom w:val="single" w:sz="4" w:space="1" w:color="000000"/>
          <w:right w:val="single" w:sz="4" w:space="4" w:color="000000"/>
        </w:pBdr>
        <w:rPr>
          <w:color w:val="000000"/>
        </w:rPr>
      </w:pPr>
      <w:bookmarkEnd w:id="32"/>
      <w:r>
        <w:rPr>
          <w:i/>
          <w:iCs/>
          <w:color w:val="000000"/>
        </w:rPr>
        <w:t>{dInteligent}</w:t>
      </w:r>
    </w:p>
    <w:p>
      <w:pPr>
        <w:pStyle w:val="1Texto"/>
        <w:rPr>
          <w:rFonts w:cs="Arial"/>
          <w:sz w:val="22"/>
          <w:szCs w:val="22"/>
        </w:rPr>
      </w:pPr>
      <w:r>
        <w:rPr>
          <w:rFonts w:cs="Arial"/>
          <w:sz w:val="22"/>
          <w:szCs w:val="22"/>
        </w:rPr>
      </w:r>
    </w:p>
    <w:p>
      <w:pPr>
        <w:pStyle w:val="1Texto"/>
        <w:rPr>
          <w:rFonts w:cs="Arial"/>
          <w:sz w:val="22"/>
          <w:szCs w:val="22"/>
          <w:highlight w:val="yellow"/>
        </w:rPr>
      </w:pPr>
      <w:r>
        <w:rPr>
          <w:rFonts w:cs="Arial"/>
          <w:sz w:val="22"/>
          <w:szCs w:val="22"/>
        </w:rPr>
        <w:t>Objetivos de Desarrollo Sostenible (ODS) a los que contribuye:</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highlight w:val="none"/>
          <w:shd w:fill="auto" w:val="clear"/>
        </w:rPr>
      </w:pPr>
      <w:r>
        <w:rPr>
          <w:rFonts w:cs="Arial"/>
          <w:sz w:val="22"/>
          <w:szCs w:val="22"/>
          <w:shd w:fill="auto" w:val="clear"/>
        </w:rPr>
        <w:t>Presupuesto ejecutado y fuentes de financiación:</w:t>
      </w:r>
    </w:p>
    <w:p>
      <w:pPr>
        <w:pStyle w:val="Normal"/>
        <w:rPr>
          <w:rFonts w:ascii="Aptos" w:hAnsi="Aptos"/>
        </w:rPr>
      </w:pPr>
      <w:r>
        <w:rPr>
          <w:rFonts w:ascii="Aptos" w:hAnsi="Aptos"/>
        </w:rPr>
        <w:t> </w:t>
      </w:r>
    </w:p>
    <w:tbl>
      <w:tblPr>
        <w:tblW w:w="5000" w:type="pct"/>
        <w:jc w:val="left"/>
        <w:tblInd w:w="0" w:type="dxa"/>
        <w:tblLayout w:type="fixed"/>
        <w:tblCellMar>
          <w:top w:w="0" w:type="dxa"/>
          <w:left w:w="108" w:type="dxa"/>
          <w:bottom w:w="0" w:type="dxa"/>
          <w:right w:w="108" w:type="dxa"/>
        </w:tblCellMar>
        <w:tblLook w:firstRow="1" w:noVBand="1" w:lastRow="0" w:firstColumn="1" w:lastColumn="0" w:noHBand="0" w:val="04a0"/>
      </w:tblPr>
      <w:tblGrid>
        <w:gridCol w:w="1491"/>
        <w:gridCol w:w="3799"/>
        <w:gridCol w:w="3736"/>
      </w:tblGrid>
      <w:tr>
        <w:trPr/>
        <w:tc>
          <w:tcPr>
            <w:tcW w:w="1491"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CUANTÍA</w:t>
            </w:r>
          </w:p>
        </w:tc>
        <w:tc>
          <w:tcPr>
            <w:tcW w:w="3799"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FUENTE DE FINANCIACIÓN</w:t>
            </w:r>
          </w:p>
        </w:tc>
        <w:tc>
          <w:tcPr>
            <w:tcW w:w="3736"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OBSERVACIONES</w:t>
            </w:r>
          </w:p>
        </w:tc>
      </w:tr>
      <w:tr>
        <w:trPr/>
        <w:tc>
          <w:tcPr>
            <w:tcW w:w="1491"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{presupuestoCuantia}</w:t>
            </w:r>
          </w:p>
        </w:tc>
        <w:tc>
          <w:tcPr>
            <w:tcW w:w="3799"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{presupuestoFuenteDeFinanciacion}</w:t>
            </w:r>
          </w:p>
        </w:tc>
        <w:tc>
          <w:tcPr>
            <w:tcW w:w="3736"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{presupuestoObservaciones}</w:t>
            </w:r>
          </w:p>
        </w:tc>
      </w:tr>
    </w:tbl>
    <w:p>
      <w:pPr>
        <w:pStyle w:val="Normal"/>
        <w:ind w:left="1416"/>
        <w:rPr>
          <w:rFonts w:ascii="Aptos" w:hAnsi="Aptos" w:eastAsia="Aptos" w:cs="Calibri" w:eastAsiaTheme="minorHAnsi"/>
        </w:rPr>
      </w:pPr>
      <w:r>
        <w:rPr>
          <w:rFonts w:ascii="Aptos" w:hAnsi="Aptos"/>
          <w:b/>
          <w:bCs/>
        </w:rPr>
        <w:t> </w:t>
      </w:r>
    </w:p>
    <w:p>
      <w:pPr>
        <w:pStyle w:val="Normal"/>
        <w:ind w:left="1416"/>
        <w:rPr>
          <w:rFonts w:ascii="Aptos" w:hAnsi="Aptos"/>
        </w:rPr>
      </w:pPr>
      <w:r>
        <w:rPr>
          <w:rFonts w:ascii="Aptos" w:hAnsi="Aptos"/>
        </w:rPr>
        <w:t> </w:t>
      </w:r>
    </w:p>
    <w:tbl>
      <w:tblPr>
        <w:tblW w:w="900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718"/>
        <w:gridCol w:w="2745"/>
        <w:gridCol w:w="3543"/>
      </w:tblGrid>
      <w:tr>
        <w:trPr/>
        <w:tc>
          <w:tcPr>
            <w:tcW w:w="2718" w:type="dxa"/>
            <w:tcBorders>
              <w:top w:val="single" w:sz="8" w:space="0" w:color="000000"/>
              <w:left w:val="single" w:sz="8" w:space="0" w:color="000000"/>
              <w:bottom w:val="single" w:sz="8" w:space="0" w:color="000000"/>
              <w:right w:val="single" w:sz="8" w:space="0" w:color="000000"/>
            </w:tcBorders>
          </w:tcPr>
          <w:p>
            <w:pPr>
              <w:pStyle w:val="Normal"/>
              <w:rPr>
                <w:rFonts w:ascii="Aptos" w:hAnsi="Aptos"/>
              </w:rPr>
            </w:pPr>
            <w:r>
              <w:rPr>
                <w:rFonts w:ascii="Aptos" w:hAnsi="Aptos"/>
              </w:rPr>
              <w:t>Presupuesto previsto</w:t>
            </w:r>
          </w:p>
        </w:tc>
        <w:tc>
          <w:tcPr>
            <w:tcW w:w="2745" w:type="dxa"/>
            <w:tcBorders>
              <w:top w:val="single" w:sz="8" w:space="0" w:color="000000"/>
              <w:bottom w:val="single" w:sz="8" w:space="0" w:color="000000"/>
              <w:right w:val="single" w:sz="8" w:space="0" w:color="000000"/>
            </w:tcBorders>
          </w:tcPr>
          <w:p>
            <w:pPr>
              <w:pStyle w:val="Normal"/>
              <w:rPr>
                <w:rFonts w:ascii="Aptos" w:hAnsi="Aptos"/>
              </w:rPr>
            </w:pPr>
            <w:r>
              <w:rPr>
                <w:rFonts w:ascii="Aptos" w:hAnsi="Aptos"/>
              </w:rPr>
              <w:t>Presupuesto ejecutado</w:t>
            </w:r>
          </w:p>
        </w:tc>
        <w:tc>
          <w:tcPr>
            <w:tcW w:w="3543" w:type="dxa"/>
            <w:tcBorders>
              <w:top w:val="single" w:sz="8" w:space="0" w:color="000000"/>
              <w:bottom w:val="single" w:sz="8" w:space="0" w:color="000000"/>
              <w:right w:val="single" w:sz="8" w:space="0" w:color="000000"/>
            </w:tcBorders>
          </w:tcPr>
          <w:p>
            <w:pPr>
              <w:pStyle w:val="Normal"/>
              <w:ind w:left="720"/>
              <w:rPr>
                <w:rFonts w:ascii="Aptos" w:hAnsi="Aptos"/>
              </w:rPr>
            </w:pPr>
            <w:r>
              <w:rPr>
                <w:rFonts w:ascii="Aptos" w:hAnsi="Aptos"/>
              </w:rPr>
              <w:t>% de ejecución</w:t>
            </w:r>
          </w:p>
        </w:tc>
      </w:tr>
      <w:tr>
        <w:trPr/>
        <w:tc>
          <w:tcPr>
            <w:tcW w:w="2718" w:type="dxa"/>
            <w:tcBorders>
              <w:left w:val="single" w:sz="8" w:space="0" w:color="000000"/>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{presupuestoPrevisto}</w:t>
            </w:r>
          </w:p>
        </w:tc>
        <w:tc>
          <w:tcPr>
            <w:tcW w:w="2745" w:type="dxa"/>
            <w:tcBorders>
              <w:bottom w:val="single" w:sz="8" w:space="0" w:color="000000"/>
              <w:right w:val="single" w:sz="8" w:space="0" w:color="000000"/>
            </w:tcBorders>
          </w:tcPr>
          <w:p>
            <w:pPr>
              <w:pStyle w:val="Normal"/>
              <w:jc w:val="left"/>
              <w:rPr/>
            </w:pPr>
            <w:r>
              <w:rPr>
                <w:rFonts w:ascii="Aptos" w:hAnsi="Aptos"/>
                <w:b w:val="false"/>
                <w:bCs w:val="false"/>
                <w:i/>
                <w:iCs/>
                <w:color w:val="000000"/>
                <w:shd w:fill="auto" w:val="clear"/>
              </w:rPr>
              <w:t>{presupuestoEjecutado}</w:t>
            </w:r>
          </w:p>
        </w:tc>
        <w:tc>
          <w:tcPr>
            <w:tcW w:w="3543" w:type="dxa"/>
            <w:tcBorders>
              <w:bottom w:val="single" w:sz="8" w:space="0" w:color="000000"/>
              <w:right w:val="single" w:sz="8" w:space="0" w:color="000000"/>
            </w:tcBorders>
          </w:tcPr>
          <w:p>
            <w:pPr>
              <w:pStyle w:val="Normal"/>
              <w:jc w:val="left"/>
              <w:rPr/>
            </w:pPr>
            <w:r>
              <w:rPr>
                <w:rFonts w:eastAsia="Aptos" w:ascii="Aptos" w:hAnsi="Aptos"/>
                <w:b w:val="false"/>
                <w:bCs w:val="false"/>
                <w:i/>
                <w:iCs/>
                <w:color w:val="000000"/>
                <w:shd w:fill="auto" w:val="clear"/>
              </w:rPr>
              <w:t>{presupuestoPorcentajeEjecución}</w:t>
            </w:r>
          </w:p>
        </w:tc>
      </w:tr>
    </w:tbl>
    <w:p>
      <w:pPr>
        <w:pStyle w:val="Normal"/>
        <w:rPr>
          <w:rFonts w:ascii="Aptos" w:hAnsi="Aptos" w:eastAsia="Aptos" w:cs="Calibri" w:eastAsiaTheme="minorHAnsi"/>
        </w:rPr>
      </w:pPr>
      <w:r>
        <w:rPr>
          <w:rFonts w:ascii="Aptos" w:hAnsi="Aptos"/>
        </w:rPr>
        <w:t> </w:t>
      </w:r>
    </w:p>
    <w:p>
      <w:pPr>
        <w:pStyle w:val="1Texto"/>
        <w:rPr>
          <w:rFonts w:cs="Arial"/>
          <w:sz w:val="22"/>
          <w:szCs w:val="22"/>
        </w:rPr>
      </w:pPr>
      <w:r>
        <w:rPr>
          <w:rFonts w:cs="Arial"/>
          <w:sz w:val="22"/>
          <w:szCs w:val="22"/>
        </w:rPr>
        <w:t>Indicadores de realización y de resultado</w:t>
      </w:r>
    </w:p>
    <w:tbl>
      <w:tblPr>
        <w:tblStyle w:val="Tablaconcuadrcula"/>
        <w:tblW w:w="8840"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2"/>
        <w:gridCol w:w="1567"/>
        <w:gridCol w:w="1454"/>
        <w:gridCol w:w="1282"/>
        <w:gridCol w:w="1128"/>
        <w:gridCol w:w="1546"/>
      </w:tblGrid>
      <w:tr>
        <w:trPr/>
        <w:tc>
          <w:tcPr>
            <w:tcW w:w="186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 realización</w:t>
            </w:r>
          </w:p>
        </w:tc>
        <w:tc>
          <w:tcPr>
            <w:tcW w:w="156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anual*</w:t>
            </w:r>
          </w:p>
        </w:tc>
        <w:tc>
          <w:tcPr>
            <w:tcW w:w="128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final*</w:t>
            </w:r>
          </w:p>
        </w:tc>
        <w:tc>
          <w:tcPr>
            <w:tcW w:w="1546"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iCs/>
                <w:color w:val="000000"/>
              </w:rPr>
              <w:t>{anualidadMetaFinal}{/indicadoresRealizacion}</w:t>
            </w:r>
          </w:p>
        </w:tc>
      </w:tr>
      <w:tr>
        <w:trPr/>
        <w:tc>
          <w:tcPr>
            <w:tcW w:w="186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Indicador de resultado</w:t>
            </w:r>
          </w:p>
        </w:tc>
        <w:tc>
          <w:tcPr>
            <w:tcW w:w="1567"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Unidad de Medida</w:t>
            </w:r>
          </w:p>
        </w:tc>
        <w:tc>
          <w:tcPr>
            <w:tcW w:w="1454"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 xml:space="preserve">Meta </w:t>
            </w:r>
            <w:r>
              <w:rPr>
                <w:rFonts w:cs="Arial"/>
                <w:b/>
                <w:i/>
                <w:color w:val="000000"/>
                <w:sz w:val="22"/>
                <w:szCs w:val="22"/>
                <w:shd w:fill="auto" w:val="clear"/>
                <w:lang w:bidi="ar-SA"/>
              </w:rPr>
              <w:t>anual</w:t>
            </w:r>
            <w:r>
              <w:rPr>
                <w:rFonts w:cs="Arial"/>
                <w:b/>
                <w:i/>
                <w:color w:val="000000"/>
                <w:sz w:val="22"/>
                <w:szCs w:val="22"/>
                <w:lang w:bidi="ar-SA"/>
              </w:rPr>
              <w:t>*</w:t>
            </w:r>
          </w:p>
        </w:tc>
        <w:tc>
          <w:tcPr>
            <w:tcW w:w="1282"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Valor alcanzado</w:t>
            </w:r>
          </w:p>
        </w:tc>
        <w:tc>
          <w:tcPr>
            <w:tcW w:w="1128"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Meta final*</w:t>
            </w:r>
          </w:p>
        </w:tc>
        <w:tc>
          <w:tcPr>
            <w:tcW w:w="1546"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bidi="ar-SA"/>
              </w:rPr>
              <w:t>Anualidad de la meta final</w:t>
            </w:r>
          </w:p>
        </w:tc>
      </w:tr>
      <w:tr>
        <w:trPr/>
        <w:tc>
          <w:tcPr>
            <w:tcW w:w="186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{#indicadoresResultado}{nombre}</w:t>
            </w:r>
          </w:p>
        </w:tc>
        <w:tc>
          <w:tcPr>
            <w:tcW w:w="156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{unitMed}</w:t>
            </w:r>
          </w:p>
        </w:tc>
        <w:tc>
          <w:tcPr>
            <w:tcW w:w="1454"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metaAnual</w:t>
            </w:r>
            <w:r>
              <w:rPr>
                <w:rFonts w:cs="Arial"/>
                <w:i/>
                <w:iCs/>
                <w:color w:val="000000"/>
                <w:sz w:val="22"/>
                <w:szCs w:val="22"/>
                <w:lang w:bidi="ar-SA"/>
              </w:rPr>
              <w:t>}</w:t>
            </w:r>
          </w:p>
        </w:tc>
        <w:tc>
          <w:tcPr>
            <w:tcW w:w="1282" w:type="dxa"/>
            <w:tcBorders>
              <w:left w:val="nil"/>
              <w:right w:val="nil"/>
            </w:tcBorders>
          </w:tcPr>
          <w:p>
            <w:pPr>
              <w:pStyle w:val="1Texto"/>
              <w:widowControl/>
              <w:suppressAutoHyphens w:val="true"/>
              <w:spacing w:before="0" w:after="0"/>
              <w:jc w:val="left"/>
              <w:rPr/>
            </w:pPr>
            <w:r>
              <w:rPr>
                <w:iCs/>
                <w:color w:val="000000"/>
                <w:shd w:fill="auto" w:val="clear"/>
              </w:rPr>
              <w:t>{valorAlcanzado}</w:t>
            </w:r>
          </w:p>
        </w:tc>
        <w:tc>
          <w:tcPr>
            <w:tcW w:w="1128"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{metaFinal}</w:t>
            </w:r>
          </w:p>
        </w:tc>
        <w:tc>
          <w:tcPr>
            <w:tcW w:w="1546"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{anualidadMetaFinal}{/indicadoresResultado}</w:t>
            </w:r>
          </w:p>
        </w:tc>
      </w:tr>
    </w:tbl>
    <w:p>
      <w:pPr>
        <w:pStyle w:val="1Texto"/>
        <w:rPr>
          <w:rFonts w:cs="Arial"/>
          <w:color w:val="auto"/>
          <w:sz w:val="22"/>
          <w:szCs w:val="22"/>
          <w:lang w:val="es-ES_tradnl"/>
        </w:rPr>
      </w:pPr>
      <w:bookmarkStart w:id="33" w:name="_Hlk192747879_Copia_1"/>
      <w:r>
        <w:rPr>
          <w:rFonts w:cs="Arial"/>
          <w:color w:val="auto"/>
          <w:sz w:val="22"/>
          <w:szCs w:val="22"/>
          <w:lang w:val="es-ES_tradnl"/>
        </w:rPr>
        <w:t xml:space="preserve">*La hipótesis de cálculo de la meta se recoge en el </w:t>
      </w:r>
      <w:r>
        <w:rPr>
          <w:rFonts w:cs="Arial"/>
          <w:b/>
          <w:bCs/>
          <w:color w:val="auto"/>
          <w:sz w:val="22"/>
          <w:szCs w:val="22"/>
          <w:lang w:val="es-ES_tradnl"/>
        </w:rPr>
        <w:t>Anexo 1</w:t>
      </w:r>
      <w:bookmarkEnd w:id="33"/>
      <w:r>
        <w:rPr>
          <w:rFonts w:cs="Arial"/>
          <w:color w:val="auto"/>
          <w:sz w:val="22"/>
          <w:szCs w:val="22"/>
          <w:lang w:val="es-ES_tradnl"/>
        </w:rPr>
        <w:t>.</w:t>
      </w:r>
    </w:p>
    <w:p>
      <w:pPr>
        <w:pStyle w:val="1Texto"/>
        <w:rPr>
          <w:rFonts w:cs="Arial"/>
          <w:sz w:val="22"/>
          <w:szCs w:val="22"/>
        </w:rPr>
      </w:pPr>
      <w:r>
        <w:rPr>
          <w:rFonts w:cs="Arial"/>
          <w:sz w:val="22"/>
          <w:szCs w:val="22"/>
        </w:rPr>
        <w:t>Observaciones</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Detalles de seguimiento</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{dSeguimiento}</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rFonts w:ascii="Arial" w:hAnsi="Arial" w:cs="Arial"/>
          <w:color w:val="000000"/>
          <w:sz w:val="28"/>
          <w:szCs w:val="28"/>
        </w:rPr>
      </w:pPr>
      <w:r>
        <w:rPr>
          <w:rFonts w:cs="Arial" w:ascii="Arial" w:hAnsi="Arial"/>
          <w:color w:val="000000"/>
          <w:sz w:val="28"/>
          <w:szCs w:val="28"/>
        </w:rPr>
      </w:r>
    </w:p>
    <w:p>
      <w:pPr>
        <w:pStyle w:val="Normal"/>
        <w:jc w:val="both"/>
        <w:rPr>
          <w:color w:val="000000"/>
        </w:rPr>
      </w:pPr>
      <w:r>
        <w:rPr>
          <w:rFonts w:cs="Arial" w:ascii="Arial" w:hAnsi="Arial"/>
          <w:color w:val="000000"/>
          <w:sz w:val="28"/>
          <w:szCs w:val="28"/>
        </w:rPr>
        <w:t>Valoración final y recomendaciones</w:t>
      </w:r>
    </w:p>
    <w:p>
      <w:pPr>
        <w:pStyle w:val="Normal"/>
        <w:jc w:val="both"/>
        <w:rPr>
          <w:rFonts w:ascii="Arial" w:hAnsi="Arial" w:cs="Arial"/>
          <w:color w:val="000000"/>
          <w:sz w:val="28"/>
          <w:szCs w:val="28"/>
        </w:rPr>
      </w:pPr>
      <w:r>
        <w:rPr>
          <w:rFonts w:cs="Arial" w:ascii="Arial" w:hAnsi="Arial"/>
          <w:color w:val="000000"/>
          <w:sz w:val="28"/>
          <w:szCs w:val="28"/>
        </w:rPr>
      </w:r>
    </w:p>
    <w:tbl>
      <w:tblPr>
        <w:tblStyle w:val="Tablaconcuadrcula"/>
        <w:tblW w:w="901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9016"/>
      </w:tblGrid>
      <w:tr>
        <w:trPr/>
        <w:tc>
          <w:tcPr>
            <w:tcW w:w="9016" w:type="dxa"/>
            <w:tcBorders/>
          </w:tcPr>
          <w:p>
            <w:pPr>
              <w:pStyle w:val="Normal"/>
              <w:widowControl/>
              <w:suppressAutoHyphens w:val="true"/>
              <w:spacing w:before="0" w:after="0"/>
              <w:jc w:val="left"/>
              <w:rPr>
                <w:color w:val="000000"/>
              </w:rPr>
            </w:pPr>
            <w:r>
              <w:rPr>
                <w:rFonts w:cs="Arial" w:ascii="Arial" w:hAnsi="Arial"/>
                <w:i/>
                <w:iCs/>
                <w:color w:val="000000"/>
                <w:sz w:val="20"/>
                <w:szCs w:val="20"/>
                <w:lang w:bidi="ar-SA"/>
              </w:rPr>
              <w:t>{valFinal}</w:t>
            </w:r>
          </w:p>
        </w:tc>
      </w:tr>
    </w:tbl>
    <w:p>
      <w:pPr>
        <w:pStyle w:val="Normal"/>
        <w:jc w:val="both"/>
        <w:rPr>
          <w:rFonts w:ascii="Arial" w:hAnsi="Arial" w:cs="Arial"/>
          <w:color w:val="000000"/>
          <w:sz w:val="28"/>
          <w:szCs w:val="28"/>
        </w:rPr>
      </w:pPr>
      <w:r>
        <w:rPr>
          <w:rFonts w:cs="Arial" w:ascii="Arial" w:hAnsi="Arial"/>
          <w:color w:val="000000"/>
          <w:sz w:val="28"/>
          <w:szCs w:val="28"/>
        </w:rPr>
      </w:r>
    </w:p>
    <w:p>
      <w:pPr>
        <w:pStyle w:val="1Texto"/>
        <w:rPr>
          <w:rFonts w:cs="Arial"/>
          <w:color w:themeColor="text1" w:val="000000"/>
          <w:sz w:val="22"/>
          <w:szCs w:val="22"/>
          <w:lang w:val="es-ES_tradnl"/>
        </w:rPr>
      </w:pPr>
      <w:r>
        <w:rPr>
          <w:rFonts w:cs="Arial"/>
          <w:color w:themeColor="text1" w:val="000000"/>
          <w:sz w:val="22"/>
          <w:szCs w:val="22"/>
          <w:lang w:val="es-ES_tradnl"/>
        </w:rPr>
      </w:r>
    </w:p>
    <w:p>
      <w:pPr>
        <w:pStyle w:val="1Texto"/>
        <w:rPr>
          <w:color w:val="000000"/>
        </w:rPr>
      </w:pPr>
      <w:r>
        <w:rPr>
          <w:b w:val="false"/>
          <w:bCs w:val="false"/>
          <w:i/>
          <w:iCs/>
          <w:color w:val="000000"/>
          <w:lang w:val="es-ES_tradnl"/>
        </w:rPr>
        <w:t>{/</w:t>
      </w:r>
      <w:r>
        <w:rPr>
          <w:rFonts w:cs="Arial"/>
          <w:b w:val="false"/>
          <w:bCs w:val="false"/>
          <w:i/>
          <w:iCs/>
          <w:color w:val="000000"/>
          <w:sz w:val="22"/>
          <w:szCs w:val="22"/>
          <w:lang w:val="es-ES_tradnl" w:bidi="ar-SA"/>
        </w:rPr>
        <w:t>resumenAccionYProyectos</w:t>
      </w:r>
      <w:r>
        <w:rPr>
          <w:b w:val="false"/>
          <w:bCs w:val="false"/>
          <w:i/>
          <w:iCs/>
          <w:color w:val="000000"/>
          <w:lang w:val="es-ES_tradnl"/>
        </w:rPr>
        <w:t>}</w:t>
      </w:r>
    </w:p>
    <w:p>
      <w:pPr>
        <w:pStyle w:val="Heading1"/>
        <w:numPr>
          <w:ilvl w:val="0"/>
          <w:numId w:val="2"/>
        </w:numPr>
        <w:ind w:hanging="426" w:left="426"/>
        <w:jc w:val="both"/>
        <w:rPr/>
      </w:pPr>
      <w:bookmarkStart w:id="34" w:name="__RefHeading___Toc6197_2100779321"/>
      <w:bookmarkStart w:id="35" w:name="_Toc49111390"/>
      <w:bookmarkEnd w:id="34"/>
      <w:r>
        <w:rPr/>
        <w:t>C</w:t>
      </w:r>
      <w:bookmarkEnd w:id="35"/>
      <w:r>
        <w:rPr/>
        <w:t>uadro de mando</w:t>
      </w:r>
    </w:p>
    <w:tbl>
      <w:tblPr>
        <w:tblStyle w:val="Tablaconcuadrcula"/>
        <w:tblW w:w="9777" w:type="dxa"/>
        <w:jc w:val="left"/>
        <w:tblInd w:w="-207" w:type="dxa"/>
        <w:tblLayout w:type="fixed"/>
        <w:tblCellMar>
          <w:top w:w="0" w:type="dxa"/>
          <w:left w:w="108" w:type="dxa"/>
          <w:bottom w:w="0" w:type="dxa"/>
          <w:right w:w="108" w:type="dxa"/>
        </w:tblCellMar>
        <w:tblLook w:firstRow="1" w:noVBand="1" w:lastRow="0" w:firstColumn="1" w:lastColumn="0" w:noHBand="0" w:val="04a0"/>
      </w:tblPr>
      <w:tblGrid>
        <w:gridCol w:w="1972"/>
        <w:gridCol w:w="3337"/>
        <w:gridCol w:w="1095"/>
        <w:gridCol w:w="840"/>
        <w:gridCol w:w="1305"/>
        <w:gridCol w:w="1227"/>
      </w:tblGrid>
      <w:tr>
        <w:trPr/>
        <w:tc>
          <w:tcPr>
            <w:tcW w:w="197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realización</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{#cuadroMandoRealizacion}{accion}</w:t>
            </w:r>
          </w:p>
        </w:tc>
        <w:tc>
          <w:tcPr>
            <w:tcW w:w="333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{indicadoresRealizacion}</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{metaA}</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bidi w:val="0"/>
              <w:spacing w:before="0" w:after="0"/>
              <w:jc w:val="left"/>
              <w:rPr/>
            </w:pPr>
            <w:r>
              <w:rPr>
                <w:iCs/>
                <w:color w:val="000000"/>
              </w:rPr>
              <w:t>{porcentaj</w:t>
            </w:r>
            <w:r>
              <w:rPr>
                <w:iCs/>
                <w:color w:val="000000"/>
              </w:rPr>
              <w:t>e</w:t>
            </w:r>
            <w:r>
              <w:rPr>
                <w:iCs/>
                <w:color w:val="000000"/>
              </w:rPr>
              <w:t>}{/</w:t>
            </w:r>
            <w:r>
              <w:rPr>
                <w:rFonts w:cs="Arial"/>
                <w:i/>
                <w:iCs/>
                <w:color w:val="000000"/>
                <w:sz w:val="22"/>
                <w:szCs w:val="22"/>
                <w:lang w:bidi="ar-SA"/>
              </w:rPr>
              <w:t>cuadroMandoRealizacion</w:t>
            </w:r>
            <w:r>
              <w:rPr>
                <w:iCs/>
                <w:color w:val="000000"/>
              </w:rPr>
              <w:t>}</w:t>
            </w:r>
          </w:p>
        </w:tc>
      </w:tr>
      <w:tr>
        <w:trPr/>
        <w:tc>
          <w:tcPr>
            <w:tcW w:w="1972"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Acción</w:t>
            </w:r>
          </w:p>
        </w:tc>
        <w:tc>
          <w:tcPr>
            <w:tcW w:w="333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Indicador de</w:t>
            </w:r>
          </w:p>
          <w:p>
            <w:pPr>
              <w:pStyle w:val="1Texto"/>
              <w:widowControl/>
              <w:suppressAutoHyphens w:val="true"/>
              <w:spacing w:before="0" w:after="0"/>
              <w:jc w:val="center"/>
              <w:rPr>
                <w:rFonts w:cs="Arial"/>
                <w:b/>
                <w:i/>
                <w:i/>
                <w:sz w:val="22"/>
                <w:szCs w:val="22"/>
              </w:rPr>
            </w:pPr>
            <w:r>
              <w:rPr>
                <w:rFonts w:cs="Arial"/>
                <w:b/>
                <w:i/>
                <w:sz w:val="22"/>
                <w:szCs w:val="22"/>
                <w:lang w:bidi="ar-SA"/>
              </w:rPr>
              <w:t>resultado</w:t>
            </w:r>
          </w:p>
        </w:tc>
        <w:tc>
          <w:tcPr>
            <w:tcW w:w="109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inicial</w:t>
            </w:r>
          </w:p>
        </w:tc>
        <w:tc>
          <w:tcPr>
            <w:tcW w:w="840"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Meta (A)</w:t>
            </w:r>
          </w:p>
        </w:tc>
        <w:tc>
          <w:tcPr>
            <w:tcW w:w="1305"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Valor alcanzado (B)</w:t>
            </w:r>
          </w:p>
        </w:tc>
        <w:tc>
          <w:tcPr>
            <w:tcW w:w="1227" w:type="dxa"/>
            <w:tcBorders>
              <w:left w:val="nil"/>
              <w:right w:val="nil"/>
            </w:tcBorders>
          </w:tcPr>
          <w:p>
            <w:pPr>
              <w:pStyle w:val="1Texto"/>
              <w:widowControl/>
              <w:suppressAutoHyphens w:val="true"/>
              <w:spacing w:before="0" w:after="0"/>
              <w:jc w:val="center"/>
              <w:rPr>
                <w:rFonts w:cs="Arial"/>
                <w:b/>
                <w:i/>
                <w:i/>
                <w:sz w:val="22"/>
                <w:szCs w:val="22"/>
              </w:rPr>
            </w:pPr>
            <w:r>
              <w:rPr>
                <w:rFonts w:cs="Arial"/>
                <w:b/>
                <w:i/>
                <w:sz w:val="22"/>
                <w:szCs w:val="22"/>
                <w:lang w:bidi="ar-SA"/>
              </w:rPr>
              <w:t>% (B/A)</w:t>
            </w:r>
          </w:p>
        </w:tc>
      </w:tr>
      <w:tr>
        <w:trPr/>
        <w:tc>
          <w:tcPr>
            <w:tcW w:w="1972"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{#cuadroMandoResultado}{accion}</w:t>
            </w:r>
          </w:p>
        </w:tc>
        <w:tc>
          <w:tcPr>
            <w:tcW w:w="333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{indicadoresResultado}</w:t>
            </w:r>
          </w:p>
        </w:tc>
        <w:tc>
          <w:tcPr>
            <w:tcW w:w="1095"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w:t>
            </w:r>
            <w:r>
              <w:rPr>
                <w:rFonts w:cs="Arial"/>
                <w:i/>
                <w:iCs/>
                <w:color w:val="000000"/>
                <w:sz w:val="22"/>
                <w:szCs w:val="22"/>
                <w:shd w:fill="auto" w:val="clear"/>
                <w:lang w:bidi="ar-SA"/>
              </w:rPr>
              <w:t>valorInicial</w:t>
            </w:r>
            <w:r>
              <w:rPr>
                <w:rFonts w:cs="Arial"/>
                <w:i/>
                <w:iCs/>
                <w:color w:val="000000"/>
                <w:sz w:val="22"/>
                <w:szCs w:val="22"/>
                <w:lang w:bidi="ar-SA"/>
              </w:rPr>
              <w:t>}</w:t>
            </w:r>
          </w:p>
        </w:tc>
        <w:tc>
          <w:tcPr>
            <w:tcW w:w="840" w:type="dxa"/>
            <w:tcBorders>
              <w:left w:val="nil"/>
              <w:right w:val="nil"/>
            </w:tcBorders>
          </w:tcPr>
          <w:p>
            <w:pPr>
              <w:pStyle w:val="1Texto"/>
              <w:widowControl/>
              <w:suppressAutoHyphens w:val="true"/>
              <w:spacing w:before="0" w:after="0"/>
              <w:jc w:val="left"/>
              <w:rPr/>
            </w:pPr>
            <w:r>
              <w:rPr>
                <w:iCs/>
                <w:color w:val="000000"/>
                <w:shd w:fill="auto" w:val="clear"/>
              </w:rPr>
              <w:t>{</w:t>
            </w:r>
            <w:r>
              <w:rPr>
                <w:rFonts w:cs="Arial"/>
                <w:i/>
                <w:iCs/>
                <w:color w:val="000000"/>
                <w:sz w:val="22"/>
                <w:szCs w:val="22"/>
                <w:shd w:fill="auto" w:val="clear"/>
                <w:lang w:bidi="ar-SA"/>
              </w:rPr>
              <w:t>metaA</w:t>
            </w:r>
            <w:r>
              <w:rPr>
                <w:iCs/>
                <w:color w:val="000000"/>
                <w:shd w:fill="auto" w:val="clear"/>
              </w:rPr>
              <w:t>}</w:t>
            </w:r>
          </w:p>
        </w:tc>
        <w:tc>
          <w:tcPr>
            <w:tcW w:w="1305" w:type="dxa"/>
            <w:tcBorders>
              <w:left w:val="nil"/>
              <w:right w:val="nil"/>
            </w:tcBorders>
          </w:tcPr>
          <w:p>
            <w:pPr>
              <w:pStyle w:val="1Texto"/>
              <w:widowControl/>
              <w:suppressAutoHyphens w:val="true"/>
              <w:spacing w:before="0" w:after="0"/>
              <w:jc w:val="left"/>
              <w:rPr/>
            </w:pPr>
            <w:r>
              <w:rPr>
                <w:rFonts w:cs="Arial"/>
                <w:i/>
                <w:iCs/>
                <w:color w:val="000000"/>
                <w:sz w:val="22"/>
                <w:szCs w:val="22"/>
                <w:shd w:fill="auto" w:val="clear"/>
                <w:lang w:bidi="ar-SA"/>
              </w:rPr>
              <w:t>{valorAlcanzado}</w:t>
            </w:r>
          </w:p>
        </w:tc>
        <w:tc>
          <w:tcPr>
            <w:tcW w:w="1227" w:type="dxa"/>
            <w:tcBorders>
              <w:left w:val="nil"/>
              <w:right w:val="nil"/>
            </w:tcBorders>
          </w:tcPr>
          <w:p>
            <w:pPr>
              <w:pStyle w:val="1Texto"/>
              <w:widowControl/>
              <w:suppressAutoHyphens w:val="true"/>
              <w:spacing w:before="0" w:after="0"/>
              <w:jc w:val="left"/>
              <w:rPr/>
            </w:pPr>
            <w:r>
              <w:rPr>
                <w:rFonts w:cs="Arial"/>
                <w:i/>
                <w:iCs/>
                <w:color w:val="000000"/>
                <w:sz w:val="22"/>
                <w:szCs w:val="22"/>
                <w:lang w:bidi="ar-SA"/>
              </w:rPr>
              <w:t>{porcentaje}{/cuadroMandoResultado}</w:t>
            </w:r>
          </w:p>
        </w:tc>
      </w:tr>
    </w:tbl>
    <w:p>
      <w:pPr>
        <w:pStyle w:val="Normal"/>
        <w:ind w:hanging="426" w:left="426"/>
        <w:jc w:val="both"/>
        <w:rPr/>
      </w:pPr>
      <w:r>
        <w:rPr/>
      </w:r>
    </w:p>
    <w:p>
      <w:pPr>
        <w:pStyle w:val="Heading1"/>
        <w:numPr>
          <w:ilvl w:val="0"/>
          <w:numId w:val="2"/>
        </w:numPr>
        <w:ind w:hanging="426" w:left="426"/>
        <w:jc w:val="both"/>
        <w:rPr/>
      </w:pPr>
      <w:bookmarkStart w:id="36" w:name="__RefHeading___Toc6199_2100779321"/>
      <w:bookmarkStart w:id="37" w:name="_Toc49111390_Copia_1"/>
      <w:bookmarkEnd w:id="36"/>
      <w:r>
        <w:rPr/>
        <w:t>ANEXOS</w:t>
      </w:r>
      <w:bookmarkEnd w:id="37"/>
    </w:p>
    <w:p>
      <w:pPr>
        <w:pStyle w:val="Normal"/>
        <w:ind w:hanging="426" w:left="426"/>
        <w:jc w:val="both"/>
        <w:rPr/>
      </w:pPr>
      <w:r>
        <w:rPr/>
      </w:r>
    </w:p>
    <w:p>
      <w:pPr>
        <w:pStyle w:val="Normal"/>
        <w:rPr/>
      </w:pPr>
      <w:r>
        <w:rPr/>
      </w:r>
    </w:p>
    <w:p>
      <w:pPr>
        <w:pStyle w:val="1Texto"/>
        <w:numPr>
          <w:ilvl w:val="0"/>
          <w:numId w:val="3"/>
        </w:numPr>
        <w:ind w:hanging="360" w:left="709"/>
        <w:rPr>
          <w:rFonts w:cs="Arial"/>
          <w:color w:val="auto"/>
          <w:sz w:val="22"/>
          <w:szCs w:val="22"/>
        </w:rPr>
      </w:pPr>
      <w:r>
        <w:rPr>
          <w:rFonts w:cs="Arial"/>
          <w:b/>
          <w:bCs/>
          <w:color w:val="auto"/>
          <w:sz w:val="22"/>
          <w:szCs w:val="22"/>
          <w:lang w:val="es-ES_tradnl"/>
        </w:rPr>
        <w:t>Anexo 1</w:t>
      </w:r>
      <w:r>
        <w:rPr>
          <w:rFonts w:cs="Arial"/>
          <w:color w:val="auto"/>
          <w:sz w:val="22"/>
          <w:szCs w:val="22"/>
          <w:lang w:val="es-ES_tradnl"/>
        </w:rPr>
        <w:t xml:space="preserve">: </w:t>
      </w:r>
      <w:r>
        <w:rPr>
          <w:rFonts w:cs="Arial"/>
          <w:color w:val="auto"/>
          <w:sz w:val="22"/>
          <w:szCs w:val="22"/>
        </w:rPr>
        <w:t>Hipótesis para la definición de las metas de los indicadores de realización y resultado.</w:t>
      </w:r>
    </w:p>
    <w:tbl>
      <w:tblPr>
        <w:tblStyle w:val="Tablaconcuadrcula"/>
        <w:tblW w:w="3750" w:type="pct"/>
        <w:jc w:val="center"/>
        <w:tblInd w:w="0" w:type="dxa"/>
        <w:tblLayout w:type="fixed"/>
        <w:tblCellMar>
          <w:top w:w="0" w:type="dxa"/>
          <w:left w:w="108" w:type="dxa"/>
          <w:bottom w:w="0" w:type="dxa"/>
          <w:right w:w="108" w:type="dxa"/>
        </w:tblCellMar>
        <w:tblLook w:firstRow="1" w:noVBand="1" w:lastRow="0" w:firstColumn="1" w:lastColumn="0" w:noHBand="0" w:val="04a0"/>
      </w:tblPr>
      <w:tblGrid>
        <w:gridCol w:w="2568"/>
        <w:gridCol w:w="4200"/>
      </w:tblGrid>
      <w:tr>
        <w:trPr>
          <w:trHeight w:val="300" w:hRule="atLeast"/>
        </w:trPr>
        <w:tc>
          <w:tcPr>
            <w:tcW w:w="6768"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rPr>
            </w:pPr>
            <w:r>
              <w:rPr>
                <w:rFonts w:cs="Arial" w:ascii="Arial" w:hAnsi="Arial"/>
                <w:b/>
                <w:bCs/>
                <w:color w:themeColor="background1" w:val="FFFFFF"/>
                <w:sz w:val="22"/>
                <w:szCs w:val="22"/>
                <w:lang w:bidi="ar-SA"/>
              </w:rPr>
              <w:t>NOMBRE DE LA ACCIÓN</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rPr>
            </w:pPr>
            <w:r>
              <w:rPr>
                <w:rFonts w:cs="Arial" w:ascii="Arial" w:hAnsi="Arial"/>
                <w:color w:themeColor="text1" w:val="000000"/>
                <w:sz w:val="22"/>
                <w:szCs w:val="22"/>
                <w:lang w:bidi="ar-SA"/>
              </w:rPr>
              <w:t>INDICADOR REALIZACIÓN</w:t>
            </w:r>
          </w:p>
        </w:tc>
        <w:tc>
          <w:tcPr>
            <w:tcW w:w="4200"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ind w:left="709"/>
              <w:jc w:val="center"/>
              <w:rPr>
                <w:rFonts w:ascii="Arial" w:hAnsi="Arial" w:cs="Arial"/>
                <w:color w:themeColor="text1" w:val="000000"/>
                <w:sz w:val="22"/>
                <w:szCs w:val="22"/>
              </w:rPr>
            </w:pPr>
            <w:r>
              <w:rPr>
                <w:rFonts w:cs="Arial" w:ascii="Arial" w:hAnsi="Arial"/>
                <w:color w:themeColor="text1" w:val="000000"/>
                <w:sz w:val="22"/>
                <w:szCs w:val="22"/>
                <w:lang w:bidi="ar-SA"/>
              </w:rPr>
              <w:t>Cálculo de HIPÓTESIS</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6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bidi="ar-SA"/>
              </w:rPr>
              <w:t>INDICADOR RESULTADO</w:t>
            </w:r>
          </w:p>
        </w:tc>
        <w:tc>
          <w:tcPr>
            <w:tcW w:w="4200"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center"/>
              <w:rPr>
                <w:color w:val="000000"/>
              </w:rPr>
            </w:pPr>
            <w:r>
              <w:rPr>
                <w:rFonts w:cs="Arial" w:ascii="Arial" w:hAnsi="Arial"/>
                <w:color w:val="000000"/>
                <w:sz w:val="22"/>
                <w:szCs w:val="22"/>
                <w:lang w:bidi="ar-SA"/>
              </w:rPr>
              <w:t>Cálculo de HIPÓTESIS</w:t>
            </w:r>
          </w:p>
        </w:tc>
      </w:tr>
      <w:tr>
        <w:trPr>
          <w:trHeight w:val="303" w:hRule="atLeast"/>
        </w:trPr>
        <w:tc>
          <w:tcPr>
            <w:tcW w:w="256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4200"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lang w:val="es-ES"/>
        </w:rPr>
      </w:pPr>
      <w:r>
        <w:rPr>
          <w:lang w:val="es-ES"/>
        </w:rPr>
      </w:r>
    </w:p>
    <w:p>
      <w:pPr>
        <w:pStyle w:val="Normal"/>
        <w:rPr>
          <w:rFonts w:ascii="Arial" w:hAnsi="Arial" w:cs="Arial"/>
          <w:sz w:val="22"/>
          <w:szCs w:val="22"/>
          <w:lang w:val="es-ES"/>
        </w:rPr>
      </w:pPr>
      <w:r>
        <w:rPr>
          <w:rFonts w:cs="Arial" w:ascii="Arial" w:hAnsi="Arial"/>
          <w:sz w:val="22"/>
          <w:szCs w:val="22"/>
          <w:lang w:val="es-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11</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11</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440" w:hanging="108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3">
    <w:lvl w:ilvl="0">
      <w:start w:val="1"/>
      <w:numFmt w:val="bullet"/>
      <w:lvlText w:val=""/>
      <w:lvlJc w:val="left"/>
      <w:pPr>
        <w:tabs>
          <w:tab w:val="num" w:pos="0"/>
        </w:tabs>
        <w:ind w:left="1146" w:hanging="360"/>
      </w:pPr>
      <w:rPr>
        <w:rFonts w:ascii="Symbol" w:hAnsi="Symbol" w:cs="Symbol"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Enlacedelndice">
    <w:name w:val="Enlace del índice"/>
    <w:qFormat/>
    <w:rPr/>
  </w:style>
  <w:style w:type="character" w:styleId="Enlacedelndiceuser">
    <w:name w:val="Enlace del índice (user)"/>
    <w:qFormat/>
    <w:rPr/>
  </w:style>
  <w:style w:type="character" w:styleId="Caracteresdenotaalpie">
    <w:name w:val="Caracteres de nota al pie"/>
    <w:qFormat/>
    <w:rPr/>
  </w:style>
  <w:style w:type="character" w:styleId="Caracteresdenotafinal">
    <w:name w:val="Caracteres de nota final"/>
    <w:qFormat/>
    <w:rPr/>
  </w:style>
  <w:style w:type="character" w:styleId="FollowedHyperlink">
    <w:name w:val="FollowedHyperlink"/>
    <w:rPr>
      <w:color w:val="80000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Default" w:customStyle="1">
    <w:name w:val="Default"/>
    <w:qFormat/>
    <w:rsid w:val="00cb398e"/>
    <w:pPr>
      <w:widowControl/>
      <w:suppressAutoHyphens w:val="true"/>
      <w:bidi w:val="0"/>
      <w:spacing w:lineRule="auto" w:line="240" w:before="0" w:after="0"/>
      <w:jc w:val="left"/>
    </w:pPr>
    <w:rPr>
      <w:rFonts w:ascii="Arial" w:hAnsi="Arial" w:eastAsia="Aptos" w:cs="Arial"/>
      <w:color w:val="000000"/>
      <w:kern w:val="0"/>
      <w:sz w:val="24"/>
      <w:szCs w:val="24"/>
      <w:lang w:val="es-ES" w:eastAsia="en-US" w:bidi="ar-SA"/>
    </w:rPr>
  </w:style>
  <w:style w:type="paragraph" w:styleId="Pa5" w:customStyle="1">
    <w:name w:val="Pa5"/>
    <w:basedOn w:val="Default"/>
    <w:next w:val="Default"/>
    <w:uiPriority w:val="99"/>
    <w:qFormat/>
    <w:rsid w:val="00cb398e"/>
    <w:pPr>
      <w:spacing w:lineRule="atLeast" w:line="221"/>
    </w:pPr>
    <w:rPr>
      <w:color w:val="auto"/>
    </w:rPr>
  </w:style>
  <w:style w:type="paragraph" w:styleId="Revision">
    <w:name w:val="Revision"/>
    <w:uiPriority w:val="99"/>
    <w:semiHidden/>
    <w:qFormat/>
    <w:rsid w:val="005d1363"/>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Contenidodelista">
    <w:name w:val="Contenido de lista"/>
    <w:basedOn w:val="Normal"/>
    <w:qFormat/>
    <w:pPr>
      <w:ind w:left="567"/>
    </w:pPr>
    <w:rPr/>
  </w:style>
  <w:style w:type="numbering" w:styleId="Ningunalista" w:default="1">
    <w:name w:val="Ninguna lista"/>
    <w:uiPriority w:val="99"/>
    <w:semiHidden/>
    <w:unhideWhenUsed/>
    <w:qFormat/>
  </w:style>
  <w:style w:type="numbering" w:styleId="Ningunalistauser">
    <w:name w:val="Ninguna lista (user)"/>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adc1fef-243f-4e07-8595-1a7da719a96f" xsi:nil="true"/>
    <lcf76f155ced4ddcb4097134ff3c332f xmlns="9a815e1b-71a5-4326-b229-d265dbd224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23DA77F0-6DB0-449E-AAFC-563797FB1F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eadc1fef-243f-4e07-8595-1a7da719a96f"/>
    <ds:schemaRef ds:uri="9a815e1b-71a5-4326-b229-d265dbd2245b"/>
  </ds:schemaRefs>
</ds:datastoreItem>
</file>

<file path=docProps/app.xml><?xml version="1.0" encoding="utf-8"?>
<Properties xmlns="http://schemas.openxmlformats.org/officeDocument/2006/extended-properties" xmlns:vt="http://schemas.openxmlformats.org/officeDocument/2006/docPropsVTypes">
  <Template>Normal.dotm</Template>
  <TotalTime>534</TotalTime>
  <Application>LibreOffice/25.2.6.2$Windows_X86_64 LibreOffice_project/729c5bfe710f5eb71ed3bbde9e06a6065e9c6c5d</Application>
  <AppVersion>15.0000</AppVersion>
  <Pages>12</Pages>
  <Words>1352</Words>
  <Characters>8967</Characters>
  <CharactersWithSpaces>10031</CharactersWithSpaces>
  <Paragraphs>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2025-09-19T06:19:00Z</dcterms:created>
  <dc:creator>Virginia Andres</dc:creator>
  <dc:description/>
  <dc:language>es-ES</dc:language>
  <cp:lastModifiedBy/>
  <cp:lastPrinted>2025-02-14T06:48:00Z</cp:lastPrinted>
  <dcterms:modified xsi:type="dcterms:W3CDTF">2025-11-12T14:14:31Z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lianceAssetId">
    <vt:lpwstr/>
  </property>
  <property fmtid="{D5CDD505-2E9C-101B-9397-08002B2CF9AE}" pid="3" name="ContentTypeId">
    <vt:lpwstr>0x0101004B805202B9976F45BEAC8E1B5C041520</vt:lpwstr>
  </property>
  <property fmtid="{D5CDD505-2E9C-101B-9397-08002B2CF9AE}" pid="4" name="MediaServiceImageTags">
    <vt:lpwstr/>
  </property>
  <property fmtid="{D5CDD505-2E9C-101B-9397-08002B2CF9AE}" pid="5" name="Order">
    <vt:r8>58500</vt:r8>
  </property>
  <property fmtid="{D5CDD505-2E9C-101B-9397-08002B2CF9AE}" pid="6" name="TemplateUrl">
    <vt:lpwstr/>
  </property>
  <property fmtid="{D5CDD505-2E9C-101B-9397-08002B2CF9AE}" pid="7" name="TriggerFlowInfo">
    <vt:lpwstr/>
  </property>
  <property fmtid="{D5CDD505-2E9C-101B-9397-08002B2CF9AE}" pid="8" name="_ExtendedDescription">
    <vt:lpwstr/>
  </property>
  <property fmtid="{D5CDD505-2E9C-101B-9397-08002B2CF9AE}" pid="9" name="xd_ProgID">
    <vt:lpwstr/>
  </property>
  <property fmtid="{D5CDD505-2E9C-101B-9397-08002B2CF9AE}" pid="10" name="xd_Signature">
    <vt:bool>0</vt:bool>
  </property>
</Properties>
</file>